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D67BC" w14:textId="33C43778" w:rsidR="00562C23" w:rsidRPr="001923E7" w:rsidRDefault="00562C23" w:rsidP="001923E7">
      <w:pPr>
        <w:spacing w:line="240" w:lineRule="auto"/>
        <w:jc w:val="both"/>
        <w:rPr>
          <w:b/>
          <w:color w:val="2F5496" w:themeColor="accent1" w:themeShade="BF"/>
          <w:sz w:val="28"/>
          <w:lang w:val="en-US"/>
        </w:rPr>
      </w:pPr>
      <w:r w:rsidRPr="001923E7">
        <w:rPr>
          <w:b/>
          <w:color w:val="2F5496" w:themeColor="accent1" w:themeShade="BF"/>
          <w:sz w:val="28"/>
          <w:lang w:val="en-US"/>
        </w:rPr>
        <w:t xml:space="preserve">EU-ASE Response to </w:t>
      </w:r>
      <w:r w:rsidR="001923E7" w:rsidRPr="001923E7">
        <w:rPr>
          <w:b/>
          <w:color w:val="2F5496" w:themeColor="accent1" w:themeShade="BF"/>
          <w:sz w:val="28"/>
          <w:lang w:val="en-US"/>
        </w:rPr>
        <w:t>Targeted Consultation for the Evaluation of the Guidelines on State aid for Environmental protection and Energy 2014-2020 (EEAG)</w:t>
      </w:r>
    </w:p>
    <w:p w14:paraId="0990D84E" w14:textId="7311179D" w:rsidR="001923E7" w:rsidRPr="001923E7" w:rsidRDefault="001923E7" w:rsidP="00562C23">
      <w:pPr>
        <w:spacing w:line="240" w:lineRule="auto"/>
        <w:jc w:val="center"/>
        <w:rPr>
          <w:b/>
          <w:color w:val="2F5496" w:themeColor="accent1" w:themeShade="BF"/>
          <w:sz w:val="28"/>
          <w:lang w:val="en-US"/>
        </w:rPr>
      </w:pPr>
      <w:r w:rsidRPr="001923E7">
        <w:rPr>
          <w:b/>
          <w:color w:val="2F5496" w:themeColor="accent1" w:themeShade="BF"/>
          <w:sz w:val="28"/>
          <w:lang w:val="en-US"/>
        </w:rPr>
        <w:t>------------------------------------------------------------------------------------------------</w:t>
      </w:r>
    </w:p>
    <w:p w14:paraId="029FCE98" w14:textId="09DA9E18" w:rsidR="00B9766E" w:rsidRPr="00487BEF" w:rsidRDefault="005B4762" w:rsidP="00B9766E">
      <w:pPr>
        <w:spacing w:line="240" w:lineRule="auto"/>
        <w:jc w:val="center"/>
        <w:rPr>
          <w:color w:val="2F5496" w:themeColor="accent1" w:themeShade="BF"/>
        </w:rPr>
      </w:pPr>
      <w:r w:rsidRPr="00487BEF">
        <w:rPr>
          <w:color w:val="2F5496" w:themeColor="accent1" w:themeShade="BF"/>
        </w:rPr>
        <w:t>18</w:t>
      </w:r>
      <w:r w:rsidR="009C083C" w:rsidRPr="00487BEF">
        <w:rPr>
          <w:color w:val="2F5496" w:themeColor="accent1" w:themeShade="BF"/>
        </w:rPr>
        <w:t xml:space="preserve"> July</w:t>
      </w:r>
      <w:r w:rsidR="00B9766E" w:rsidRPr="00487BEF">
        <w:rPr>
          <w:color w:val="2F5496" w:themeColor="accent1" w:themeShade="BF"/>
        </w:rPr>
        <w:t xml:space="preserve"> 2019</w:t>
      </w:r>
    </w:p>
    <w:p w14:paraId="3E4F72A2" w14:textId="77777777" w:rsidR="00562C23" w:rsidRPr="00487BEF" w:rsidRDefault="00562C23" w:rsidP="00562C23">
      <w:pPr>
        <w:spacing w:line="240" w:lineRule="auto"/>
        <w:jc w:val="center"/>
        <w:rPr>
          <w:b/>
          <w:color w:val="2F5496" w:themeColor="accent1" w:themeShade="BF"/>
          <w:lang w:val="en-US"/>
        </w:rPr>
      </w:pPr>
    </w:p>
    <w:p w14:paraId="51BCEA77" w14:textId="48151CBA" w:rsidR="00562C23" w:rsidRPr="00487BEF" w:rsidRDefault="001923E7" w:rsidP="005C46B6">
      <w:pPr>
        <w:spacing w:line="240" w:lineRule="auto"/>
        <w:jc w:val="both"/>
        <w:rPr>
          <w:b/>
          <w:color w:val="2F5496" w:themeColor="accent1" w:themeShade="BF"/>
          <w:lang w:val="en-US"/>
        </w:rPr>
      </w:pPr>
      <w:r w:rsidRPr="00487BEF">
        <w:rPr>
          <w:b/>
          <w:color w:val="2F5496" w:themeColor="accent1" w:themeShade="BF"/>
          <w:lang w:val="en-US"/>
        </w:rPr>
        <w:t>INTRODUCTION</w:t>
      </w:r>
    </w:p>
    <w:p w14:paraId="6CFBF810" w14:textId="313602B9" w:rsidR="001923E7" w:rsidRPr="00487BEF" w:rsidRDefault="001923E7" w:rsidP="005C46B6">
      <w:pPr>
        <w:spacing w:line="240" w:lineRule="auto"/>
        <w:jc w:val="both"/>
      </w:pPr>
      <w:r w:rsidRPr="00487BEF">
        <w:t>EU-ASE was established in December 2010 by some of Europe’s leading multinational companies. The Alliance creates a platform from which our companies (Danfoss, Kingspan, Knauf Insulation, Saint-Gobain, Schneider Electric, Siemens, Signify, and Veolia) can join with politicians and thought leaders to ensure the voice of energy efficiency is heard from across the business and political community. EU-ASE members have operations across the 28 Member States of the European Union, employ over 340.000 people in Europe and have an aggregated annual turnover of €115 billion.</w:t>
      </w:r>
    </w:p>
    <w:p w14:paraId="00133FCA" w14:textId="7D82CDEB" w:rsidR="001923E7" w:rsidRPr="00487BEF" w:rsidRDefault="001923E7" w:rsidP="005C46B6">
      <w:pPr>
        <w:spacing w:line="240" w:lineRule="auto"/>
        <w:jc w:val="both"/>
      </w:pPr>
    </w:p>
    <w:p w14:paraId="1E22B0A7" w14:textId="7187FC11" w:rsidR="001923E7" w:rsidRPr="00487BEF" w:rsidRDefault="001923E7" w:rsidP="005C46B6">
      <w:pPr>
        <w:spacing w:line="240" w:lineRule="auto"/>
        <w:jc w:val="both"/>
      </w:pPr>
      <w:r w:rsidRPr="00487BEF">
        <w:t>We would like to respond to the Roadmap that w</w:t>
      </w:r>
      <w:r w:rsidRPr="00487BEF">
        <w:rPr>
          <w:lang w:val="en-US"/>
        </w:rPr>
        <w:t>as</w:t>
      </w:r>
      <w:r w:rsidRPr="00487BEF">
        <w:t xml:space="preserve"> released by DG Competition, namely on: 1) Targeted Consultation for the Evaluation of the Guidelines on State aid for Environmental protection and Energy 2014-2020 (EEAG)</w:t>
      </w:r>
    </w:p>
    <w:p w14:paraId="7F081B27" w14:textId="7506A678" w:rsidR="001923E7" w:rsidRPr="00487BEF" w:rsidRDefault="001923E7" w:rsidP="005C46B6">
      <w:pPr>
        <w:spacing w:line="240" w:lineRule="auto"/>
        <w:jc w:val="both"/>
      </w:pPr>
    </w:p>
    <w:p w14:paraId="63C1AAD2" w14:textId="48228ABF" w:rsidR="001923E7" w:rsidRPr="00487BEF" w:rsidRDefault="00736A29" w:rsidP="005C46B6">
      <w:pPr>
        <w:spacing w:line="240" w:lineRule="auto"/>
        <w:jc w:val="both"/>
        <w:rPr>
          <w:b/>
          <w:bCs/>
          <w:color w:val="2F5496" w:themeColor="accent1" w:themeShade="BF"/>
        </w:rPr>
      </w:pPr>
      <w:r w:rsidRPr="00487BEF">
        <w:rPr>
          <w:b/>
          <w:bCs/>
          <w:color w:val="2F5496" w:themeColor="accent1" w:themeShade="BF"/>
        </w:rPr>
        <w:t>*Please describe the relevance of State aid rules for you.</w:t>
      </w:r>
    </w:p>
    <w:p w14:paraId="21DB0AD0" w14:textId="673D260A" w:rsidR="00B56A7D" w:rsidRPr="00487BEF" w:rsidRDefault="00736A29" w:rsidP="00B56A7D">
      <w:pPr>
        <w:spacing w:line="240" w:lineRule="auto"/>
        <w:jc w:val="both"/>
        <w:rPr>
          <w:rStyle w:val="Boldstyle"/>
          <w:b w:val="0"/>
        </w:rPr>
      </w:pPr>
      <w:r w:rsidRPr="00487BEF">
        <w:t>We believe that well-designed State aid schemes and measures can help achieve important policies in the Member States and in the EU such as reaching the 2030 targets while ensuring that the energy markets are affordable, flexible and secure.</w:t>
      </w:r>
      <w:r w:rsidR="00B56A7D" w:rsidRPr="00487BEF">
        <w:t xml:space="preserve"> </w:t>
      </w:r>
      <w:r w:rsidR="00B56A7D" w:rsidRPr="00487BEF">
        <w:rPr>
          <w:rStyle w:val="Boldstyle"/>
          <w:b w:val="0"/>
          <w:bCs/>
        </w:rPr>
        <w:t>This is specifically to:</w:t>
      </w:r>
    </w:p>
    <w:p w14:paraId="6B3A86E1" w14:textId="15A143E8" w:rsidR="00B56A7D" w:rsidRPr="00487BEF" w:rsidRDefault="00B56A7D" w:rsidP="00B56A7D">
      <w:pPr>
        <w:spacing w:after="3" w:line="259" w:lineRule="auto"/>
        <w:ind w:left="520" w:right="16"/>
      </w:pPr>
      <w:r w:rsidRPr="00487BEF">
        <w:t>- Promote the financial investment in energy efficiency and use of renewable energy;</w:t>
      </w:r>
    </w:p>
    <w:p w14:paraId="2535F3E9" w14:textId="13A50E9B" w:rsidR="00B56A7D" w:rsidRPr="00487BEF" w:rsidRDefault="00B56A7D" w:rsidP="00B56A7D">
      <w:pPr>
        <w:spacing w:after="3" w:line="259" w:lineRule="auto"/>
        <w:ind w:left="520" w:right="16"/>
      </w:pPr>
      <w:r w:rsidRPr="00487BEF">
        <w:t>- Prevent the granting of aid that promotes carbon lock-in through investments in unsustainable projects and energy intensive infrastructure.</w:t>
      </w:r>
    </w:p>
    <w:p w14:paraId="4CA9A6DD" w14:textId="77777777" w:rsidR="00736A29" w:rsidRPr="00487BEF" w:rsidRDefault="00736A29" w:rsidP="005C46B6">
      <w:pPr>
        <w:spacing w:line="240" w:lineRule="auto"/>
        <w:jc w:val="both"/>
        <w:rPr>
          <w:b/>
          <w:color w:val="4472C4" w:themeColor="accent1"/>
          <w:lang w:val="en-US"/>
        </w:rPr>
      </w:pPr>
    </w:p>
    <w:p w14:paraId="76FB1D70" w14:textId="0F1BFFBB" w:rsidR="00562C23" w:rsidRPr="00487BEF" w:rsidRDefault="002C2CA8" w:rsidP="005C46B6">
      <w:pPr>
        <w:spacing w:line="240" w:lineRule="auto"/>
        <w:jc w:val="both"/>
        <w:rPr>
          <w:b/>
          <w:color w:val="2F5496" w:themeColor="accent1" w:themeShade="BF"/>
        </w:rPr>
      </w:pPr>
      <w:r w:rsidRPr="00487BEF">
        <w:rPr>
          <w:b/>
          <w:color w:val="2F5496" w:themeColor="accent1" w:themeShade="BF"/>
        </w:rPr>
        <w:t xml:space="preserve">QUESTION </w:t>
      </w:r>
      <w:r w:rsidR="009C083C" w:rsidRPr="00487BEF">
        <w:rPr>
          <w:b/>
          <w:color w:val="2F5496" w:themeColor="accent1" w:themeShade="BF"/>
        </w:rPr>
        <w:t>4</w:t>
      </w:r>
    </w:p>
    <w:p w14:paraId="6C287798" w14:textId="72CA4C17" w:rsidR="002C2CA8" w:rsidRPr="00487BEF" w:rsidRDefault="009C083C" w:rsidP="005C46B6">
      <w:pPr>
        <w:spacing w:line="240" w:lineRule="auto"/>
        <w:jc w:val="both"/>
      </w:pPr>
      <w:r w:rsidRPr="00487BEF">
        <w:rPr>
          <w:b/>
          <w:color w:val="538135" w:themeColor="accent6" w:themeShade="BF"/>
        </w:rPr>
        <w:t>Based on your experience, to what extent has Article 39 GBER allowed aid through financial instruments for energy efficiency measures in buildings while limiting distortions of competition at the level of the financial intermediary and the funds involved?</w:t>
      </w:r>
    </w:p>
    <w:p w14:paraId="329F7C7F" w14:textId="402E7450" w:rsidR="005C46B6" w:rsidRPr="00487BEF" w:rsidRDefault="005C46B6" w:rsidP="005C46B6">
      <w:pPr>
        <w:spacing w:line="240" w:lineRule="auto"/>
        <w:jc w:val="both"/>
      </w:pPr>
    </w:p>
    <w:p w14:paraId="53526746" w14:textId="5C21E075" w:rsidR="009C083C" w:rsidRPr="00487BEF" w:rsidRDefault="009C083C" w:rsidP="009C083C">
      <w:pPr>
        <w:spacing w:line="240" w:lineRule="auto"/>
        <w:jc w:val="both"/>
      </w:pPr>
      <w:r w:rsidRPr="00487BEF">
        <w:t>To a large extent</w:t>
      </w:r>
    </w:p>
    <w:p w14:paraId="51591408" w14:textId="77777777" w:rsidR="009C083C" w:rsidRPr="00487BEF" w:rsidRDefault="009C083C" w:rsidP="009C083C">
      <w:pPr>
        <w:spacing w:line="240" w:lineRule="auto"/>
        <w:jc w:val="both"/>
      </w:pPr>
      <w:r w:rsidRPr="00487BEF">
        <w:rPr>
          <w:highlight w:val="yellow"/>
        </w:rPr>
        <w:t>To some extent</w:t>
      </w:r>
    </w:p>
    <w:p w14:paraId="3C5B9DEB" w14:textId="4BCEA33C" w:rsidR="009C083C" w:rsidRPr="00487BEF" w:rsidRDefault="009C083C" w:rsidP="009C083C">
      <w:pPr>
        <w:spacing w:line="240" w:lineRule="auto"/>
        <w:jc w:val="both"/>
      </w:pPr>
      <w:r w:rsidRPr="00487BEF">
        <w:t>Not at all</w:t>
      </w:r>
      <w:r w:rsidRPr="00487BEF">
        <w:rPr>
          <w:b/>
          <w:bCs/>
        </w:rPr>
        <w:tab/>
      </w:r>
    </w:p>
    <w:p w14:paraId="3A4A3DD5" w14:textId="4794D109" w:rsidR="009C083C" w:rsidRPr="00487BEF" w:rsidRDefault="009C083C" w:rsidP="009C083C">
      <w:pPr>
        <w:spacing w:line="240" w:lineRule="auto"/>
        <w:jc w:val="both"/>
      </w:pPr>
      <w:r w:rsidRPr="00487BEF">
        <w:t>I don’t know</w:t>
      </w:r>
    </w:p>
    <w:p w14:paraId="33240FDA" w14:textId="77777777" w:rsidR="009C083C" w:rsidRPr="00487BEF" w:rsidRDefault="009C083C" w:rsidP="009C083C">
      <w:pPr>
        <w:spacing w:line="240" w:lineRule="auto"/>
        <w:jc w:val="both"/>
      </w:pPr>
    </w:p>
    <w:p w14:paraId="34825C2F" w14:textId="76572023" w:rsidR="009C083C" w:rsidRPr="00487BEF" w:rsidRDefault="009C083C" w:rsidP="005C46B6">
      <w:pPr>
        <w:spacing w:line="240" w:lineRule="auto"/>
        <w:jc w:val="both"/>
        <w:rPr>
          <w:i/>
          <w:iCs/>
        </w:rPr>
      </w:pPr>
      <w:r w:rsidRPr="00487BEF">
        <w:rPr>
          <w:i/>
          <w:iCs/>
        </w:rPr>
        <w:t>Please explain (1000 character(s) maximum</w:t>
      </w:r>
    </w:p>
    <w:p w14:paraId="0778C42C" w14:textId="3F0A7D5D" w:rsidR="00D42CD0" w:rsidRPr="00487BEF" w:rsidRDefault="00D42CD0" w:rsidP="005C46B6">
      <w:pPr>
        <w:spacing w:line="240" w:lineRule="auto"/>
        <w:jc w:val="both"/>
        <w:rPr>
          <w:i/>
          <w:iCs/>
        </w:rPr>
      </w:pPr>
    </w:p>
    <w:p w14:paraId="0252B9A1" w14:textId="574CE652" w:rsidR="00B94DFB" w:rsidRPr="00487BEF" w:rsidRDefault="00B56A7D" w:rsidP="005C46B6">
      <w:pPr>
        <w:spacing w:line="240" w:lineRule="auto"/>
        <w:jc w:val="both"/>
        <w:rPr>
          <w:color w:val="222222"/>
          <w:shd w:val="clear" w:color="auto" w:fill="FFFFFF"/>
        </w:rPr>
      </w:pPr>
      <w:r w:rsidRPr="00487BEF">
        <w:rPr>
          <w:color w:val="222222"/>
          <w:shd w:val="clear" w:color="auto" w:fill="FFFFFF"/>
        </w:rPr>
        <w:t>As the GBER exempts Member States</w:t>
      </w:r>
      <w:r w:rsidR="00EB2FEC" w:rsidRPr="00487BEF">
        <w:rPr>
          <w:color w:val="222222"/>
          <w:shd w:val="clear" w:color="auto" w:fill="FFFFFF"/>
        </w:rPr>
        <w:t xml:space="preserve"> (MS)</w:t>
      </w:r>
      <w:r w:rsidRPr="00487BEF">
        <w:rPr>
          <w:color w:val="222222"/>
          <w:shd w:val="clear" w:color="auto" w:fill="FFFFFF"/>
        </w:rPr>
        <w:t xml:space="preserve"> from notifying State aid measures it is crucial that it provides the highest level of legal certainty to</w:t>
      </w:r>
      <w:r w:rsidR="00EB2FEC" w:rsidRPr="00487BEF">
        <w:rPr>
          <w:color w:val="222222"/>
          <w:shd w:val="clear" w:color="auto" w:fill="FFFFFF"/>
        </w:rPr>
        <w:t xml:space="preserve"> </w:t>
      </w:r>
      <w:r w:rsidRPr="00487BEF">
        <w:rPr>
          <w:color w:val="222222"/>
          <w:shd w:val="clear" w:color="auto" w:fill="FFFFFF"/>
        </w:rPr>
        <w:t>the Commission</w:t>
      </w:r>
      <w:r w:rsidR="00EB2FEC" w:rsidRPr="00487BEF">
        <w:rPr>
          <w:color w:val="222222"/>
          <w:shd w:val="clear" w:color="auto" w:fill="FFFFFF"/>
        </w:rPr>
        <w:t>(EC)</w:t>
      </w:r>
      <w:r w:rsidRPr="00487BEF">
        <w:rPr>
          <w:color w:val="222222"/>
          <w:shd w:val="clear" w:color="auto" w:fill="FFFFFF"/>
        </w:rPr>
        <w:t>,</w:t>
      </w:r>
      <w:r w:rsidR="00B94DFB" w:rsidRPr="00487BEF">
        <w:rPr>
          <w:color w:val="222222"/>
          <w:shd w:val="clear" w:color="auto" w:fill="FFFFFF"/>
        </w:rPr>
        <w:t xml:space="preserve"> </w:t>
      </w:r>
      <w:r w:rsidRPr="00487BEF">
        <w:rPr>
          <w:color w:val="222222"/>
          <w:shd w:val="clear" w:color="auto" w:fill="FFFFFF"/>
        </w:rPr>
        <w:t xml:space="preserve">the </w:t>
      </w:r>
      <w:r w:rsidR="00EB2FEC" w:rsidRPr="00487BEF">
        <w:rPr>
          <w:color w:val="222222"/>
          <w:shd w:val="clear" w:color="auto" w:fill="FFFFFF"/>
        </w:rPr>
        <w:t>MS,</w:t>
      </w:r>
      <w:r w:rsidRPr="00487BEF">
        <w:rPr>
          <w:color w:val="222222"/>
          <w:shd w:val="clear" w:color="auto" w:fill="FFFFFF"/>
        </w:rPr>
        <w:t xml:space="preserve"> market operators and public</w:t>
      </w:r>
      <w:r w:rsidR="00B94DFB" w:rsidRPr="00487BEF">
        <w:rPr>
          <w:color w:val="222222"/>
          <w:shd w:val="clear" w:color="auto" w:fill="FFFFFF"/>
        </w:rPr>
        <w:t xml:space="preserve">. </w:t>
      </w:r>
      <w:r w:rsidRPr="00487BEF">
        <w:rPr>
          <w:color w:val="222222"/>
          <w:shd w:val="clear" w:color="auto" w:fill="FFFFFF"/>
        </w:rPr>
        <w:t xml:space="preserve">While it is very difficult for the public to gather evidence on the use of state aid (amount of aid, type of aid, achievements) for achieving national energy efficiency policies, we recommend that the </w:t>
      </w:r>
      <w:r w:rsidR="00EB2FEC" w:rsidRPr="00487BEF">
        <w:rPr>
          <w:color w:val="222222"/>
          <w:shd w:val="clear" w:color="auto" w:fill="FFFFFF"/>
        </w:rPr>
        <w:t xml:space="preserve">EC </w:t>
      </w:r>
      <w:r w:rsidRPr="00487BEF">
        <w:rPr>
          <w:color w:val="222222"/>
          <w:shd w:val="clear" w:color="auto" w:fill="FFFFFF"/>
        </w:rPr>
        <w:t xml:space="preserve">gather the views of the </w:t>
      </w:r>
      <w:r w:rsidR="00EB2FEC" w:rsidRPr="00487BEF">
        <w:rPr>
          <w:color w:val="222222"/>
          <w:shd w:val="clear" w:color="auto" w:fill="FFFFFF"/>
        </w:rPr>
        <w:t>MS</w:t>
      </w:r>
      <w:r w:rsidRPr="00487BEF">
        <w:rPr>
          <w:color w:val="222222"/>
          <w:shd w:val="clear" w:color="auto" w:fill="FFFFFF"/>
        </w:rPr>
        <w:t xml:space="preserve">, at all relevant administrative levels managing energy efficiency programmes, and beneficiaries of the schemes on (i) the clarity of the rules, (ii) their ease of use and (iii) whether the type of aid is appropriate. </w:t>
      </w:r>
      <w:r w:rsidR="002C3153" w:rsidRPr="00487BEF">
        <w:rPr>
          <w:color w:val="222222"/>
          <w:shd w:val="clear" w:color="auto" w:fill="FFFFFF"/>
        </w:rPr>
        <w:t>It is possible that the financial instruments listed in para. 4 of Article 39 do not represent the full scope of financial instruments suitable for all the different energy efficiency projects in buildings and therefore the list may need to be broadened.</w:t>
      </w:r>
    </w:p>
    <w:p w14:paraId="3C2CB23A" w14:textId="19BE3E21" w:rsidR="00776630" w:rsidRPr="00487BEF" w:rsidRDefault="00776630" w:rsidP="005C46B6">
      <w:pPr>
        <w:spacing w:line="240" w:lineRule="auto"/>
        <w:jc w:val="both"/>
        <w:rPr>
          <w:color w:val="222222"/>
          <w:shd w:val="clear" w:color="auto" w:fill="FFFFFF"/>
        </w:rPr>
      </w:pPr>
    </w:p>
    <w:p w14:paraId="4519E3B8" w14:textId="11BA840F" w:rsidR="00EA4C60" w:rsidRPr="00487BEF" w:rsidRDefault="00EA4C60" w:rsidP="00776630">
      <w:pPr>
        <w:spacing w:line="240" w:lineRule="auto"/>
        <w:rPr>
          <w:color w:val="222222"/>
          <w:shd w:val="clear" w:color="auto" w:fill="FFFFFF"/>
        </w:rPr>
      </w:pPr>
    </w:p>
    <w:p w14:paraId="1252630B" w14:textId="0FB4AD5A" w:rsidR="00776630" w:rsidRPr="00487BEF" w:rsidRDefault="006417FC" w:rsidP="00776630">
      <w:pPr>
        <w:spacing w:line="240" w:lineRule="auto"/>
        <w:rPr>
          <w:color w:val="222222"/>
          <w:shd w:val="clear" w:color="auto" w:fill="FFFFFF"/>
        </w:rPr>
      </w:pPr>
      <w:r w:rsidRPr="00487BEF">
        <w:rPr>
          <w:color w:val="222222"/>
          <w:shd w:val="clear" w:color="auto" w:fill="FFFFFF"/>
        </w:rPr>
        <w:lastRenderedPageBreak/>
        <w:t>We</w:t>
      </w:r>
      <w:r w:rsidR="004100EE" w:rsidRPr="00487BEF">
        <w:rPr>
          <w:color w:val="222222"/>
          <w:shd w:val="clear" w:color="auto" w:fill="FFFFFF"/>
        </w:rPr>
        <w:t xml:space="preserve"> would like to highlight that in case of aid intensity above 50%, in some Member States, the public procurement rules may apply, which may render the process more cumbersome, discouraging the uptake of energy efficiency projects.</w:t>
      </w:r>
      <w:r w:rsidR="00B6158C" w:rsidRPr="00487BEF">
        <w:rPr>
          <w:color w:val="222222"/>
          <w:shd w:val="clear" w:color="auto" w:fill="FFFFFF"/>
        </w:rPr>
        <w:t xml:space="preserve"> We would also like to </w:t>
      </w:r>
      <w:r w:rsidR="0047618E">
        <w:rPr>
          <w:color w:val="222222"/>
          <w:shd w:val="clear" w:color="auto" w:fill="FFFFFF"/>
        </w:rPr>
        <w:t xml:space="preserve">underline </w:t>
      </w:r>
      <w:bookmarkStart w:id="0" w:name="_GoBack"/>
      <w:bookmarkEnd w:id="0"/>
      <w:r w:rsidR="00B6158C" w:rsidRPr="00487BEF">
        <w:rPr>
          <w:color w:val="222222"/>
          <w:shd w:val="clear" w:color="auto" w:fill="FFFFFF"/>
        </w:rPr>
        <w:t xml:space="preserve">that state aid rules should incentivise the financing of energy efficiency project compared to CCs and energy infrastructure. </w:t>
      </w:r>
    </w:p>
    <w:p w14:paraId="4B7D412F" w14:textId="77777777" w:rsidR="004100EE" w:rsidRPr="00487BEF" w:rsidRDefault="004100EE" w:rsidP="00776630">
      <w:pPr>
        <w:spacing w:line="240" w:lineRule="auto"/>
        <w:rPr>
          <w:color w:val="222222"/>
          <w:shd w:val="clear" w:color="auto" w:fill="FFFFFF"/>
        </w:rPr>
      </w:pPr>
    </w:p>
    <w:p w14:paraId="244098E6" w14:textId="220681D7" w:rsidR="00776630" w:rsidRPr="00487BEF" w:rsidRDefault="00776630" w:rsidP="00844C51">
      <w:pPr>
        <w:spacing w:line="240" w:lineRule="auto"/>
        <w:rPr>
          <w:color w:val="222222"/>
          <w:shd w:val="clear" w:color="auto" w:fill="FFFFFF"/>
        </w:rPr>
      </w:pPr>
      <w:r w:rsidRPr="00487BEF">
        <w:rPr>
          <w:color w:val="000000"/>
          <w:shd w:val="clear" w:color="auto" w:fill="FFFFFF"/>
        </w:rPr>
        <w:t xml:space="preserve">In our view, Article 39 of GBER can be an essential driver for the achievement of targets and standards defined in newly revised EPBD and EED. </w:t>
      </w:r>
      <w:r w:rsidR="00844C51" w:rsidRPr="00487BEF">
        <w:rPr>
          <w:color w:val="000000"/>
          <w:shd w:val="clear" w:color="auto" w:fill="FFFFFF"/>
        </w:rPr>
        <w:t>However, t</w:t>
      </w:r>
      <w:r w:rsidRPr="00487BEF">
        <w:rPr>
          <w:color w:val="000000"/>
          <w:shd w:val="clear" w:color="auto" w:fill="FFFFFF"/>
        </w:rPr>
        <w:t>he article, in its current form, cannot be used to justify aid, in the form of a loan or a guarantee, awarded to energy services  (EES) providers, such as ESCOs for the implementation of Energy Performance contracting. This significantly limits the potential impact of the article as comprehensive energy efficiency services improve overall energy efficiency, reduce actual and measured energy consumption, and thus decrease CO2 emissions at optimised costs. The article could be revised in such a way as to support deep staged renovation</w:t>
      </w:r>
      <w:r w:rsidR="00844C51" w:rsidRPr="00487BEF">
        <w:rPr>
          <w:color w:val="000000"/>
          <w:shd w:val="clear" w:color="auto" w:fill="FFFFFF"/>
        </w:rPr>
        <w:t xml:space="preserve"> </w:t>
      </w:r>
      <w:r w:rsidRPr="00487BEF">
        <w:rPr>
          <w:color w:val="000000"/>
          <w:shd w:val="clear" w:color="auto" w:fill="FFFFFF"/>
        </w:rPr>
        <w:t>includ</w:t>
      </w:r>
      <w:r w:rsidR="00844C51" w:rsidRPr="00487BEF">
        <w:rPr>
          <w:color w:val="000000"/>
          <w:shd w:val="clear" w:color="auto" w:fill="FFFFFF"/>
        </w:rPr>
        <w:t>ing</w:t>
      </w:r>
      <w:r w:rsidRPr="00487BEF">
        <w:rPr>
          <w:color w:val="000000"/>
          <w:shd w:val="clear" w:color="auto" w:fill="FFFFFF"/>
        </w:rPr>
        <w:t xml:space="preserve"> both </w:t>
      </w:r>
      <w:r w:rsidR="00844C51" w:rsidRPr="00487BEF">
        <w:rPr>
          <w:color w:val="000000"/>
          <w:shd w:val="clear" w:color="auto" w:fill="FFFFFF"/>
        </w:rPr>
        <w:t xml:space="preserve">deep </w:t>
      </w:r>
      <w:r w:rsidRPr="00487BEF">
        <w:rPr>
          <w:color w:val="000000"/>
          <w:shd w:val="clear" w:color="auto" w:fill="FFFFFF"/>
        </w:rPr>
        <w:t>thermal modernization as well as energy performance of systems and equipment covered by results guarantees and therefore help MS achieve the objectives of long term renovation strategies inscribed in article 2 of revised EPBD.</w:t>
      </w:r>
    </w:p>
    <w:p w14:paraId="32623069" w14:textId="77777777" w:rsidR="00776630" w:rsidRPr="00487BEF" w:rsidRDefault="00776630" w:rsidP="00894FC2">
      <w:pPr>
        <w:spacing w:line="240" w:lineRule="auto"/>
        <w:jc w:val="both"/>
        <w:rPr>
          <w:color w:val="222222"/>
          <w:shd w:val="clear" w:color="auto" w:fill="FFFFFF"/>
        </w:rPr>
      </w:pPr>
    </w:p>
    <w:p w14:paraId="1907BAD0" w14:textId="77777777" w:rsidR="00776630" w:rsidRPr="00487BEF" w:rsidRDefault="00776630" w:rsidP="005C46B6">
      <w:pPr>
        <w:spacing w:line="240" w:lineRule="auto"/>
        <w:jc w:val="both"/>
        <w:rPr>
          <w:color w:val="222222"/>
          <w:shd w:val="clear" w:color="auto" w:fill="FFFFFF"/>
        </w:rPr>
      </w:pPr>
    </w:p>
    <w:p w14:paraId="633CDC5D" w14:textId="77777777" w:rsidR="00B56A7D" w:rsidRPr="00487BEF" w:rsidRDefault="00B56A7D" w:rsidP="005C46B6">
      <w:pPr>
        <w:spacing w:line="240" w:lineRule="auto"/>
        <w:jc w:val="both"/>
      </w:pPr>
    </w:p>
    <w:p w14:paraId="3CA415E3" w14:textId="45050D38" w:rsidR="00562C23" w:rsidRPr="00487BEF" w:rsidRDefault="00072ECF" w:rsidP="005C46B6">
      <w:pPr>
        <w:spacing w:line="240" w:lineRule="auto"/>
        <w:jc w:val="both"/>
        <w:rPr>
          <w:b/>
          <w:color w:val="2F5496" w:themeColor="accent1" w:themeShade="BF"/>
        </w:rPr>
      </w:pPr>
      <w:r w:rsidRPr="00487BEF">
        <w:rPr>
          <w:b/>
          <w:color w:val="2F5496" w:themeColor="accent1" w:themeShade="BF"/>
        </w:rPr>
        <w:t xml:space="preserve">QUESTION </w:t>
      </w:r>
      <w:r w:rsidR="009C083C" w:rsidRPr="00487BEF">
        <w:rPr>
          <w:b/>
          <w:color w:val="2F5496" w:themeColor="accent1" w:themeShade="BF"/>
        </w:rPr>
        <w:t>5</w:t>
      </w:r>
    </w:p>
    <w:p w14:paraId="30EA1545" w14:textId="7A17CB61" w:rsidR="00A847AF" w:rsidRPr="00487BEF" w:rsidRDefault="009C083C" w:rsidP="005C46B6">
      <w:pPr>
        <w:spacing w:line="240" w:lineRule="auto"/>
        <w:jc w:val="both"/>
        <w:rPr>
          <w:b/>
          <w:color w:val="538135" w:themeColor="accent6" w:themeShade="BF"/>
        </w:rPr>
      </w:pPr>
      <w:r w:rsidRPr="00487BEF">
        <w:rPr>
          <w:b/>
          <w:color w:val="538135" w:themeColor="accent6" w:themeShade="BF"/>
        </w:rPr>
        <w:t>Based on your experience, has State aid granted under the EEAG or the GBER generally achieved the relevant climate and environmental protection objectives while maintaining a competitive internal market?</w:t>
      </w:r>
    </w:p>
    <w:p w14:paraId="7DE252ED" w14:textId="77777777" w:rsidR="009C083C" w:rsidRPr="00487BEF" w:rsidRDefault="009C083C" w:rsidP="005C46B6">
      <w:pPr>
        <w:spacing w:line="240" w:lineRule="auto"/>
        <w:jc w:val="both"/>
        <w:rPr>
          <w:b/>
        </w:rPr>
      </w:pPr>
    </w:p>
    <w:p w14:paraId="03E3D3F1" w14:textId="40044E1D" w:rsidR="009C083C" w:rsidRPr="00487BEF" w:rsidRDefault="009C083C" w:rsidP="009C083C">
      <w:pPr>
        <w:spacing w:line="240" w:lineRule="auto"/>
        <w:jc w:val="both"/>
      </w:pPr>
      <w:r w:rsidRPr="00487BEF">
        <w:t>Yes</w:t>
      </w:r>
      <w:r w:rsidRPr="00487BEF">
        <w:tab/>
      </w:r>
    </w:p>
    <w:p w14:paraId="6ABEFBF6" w14:textId="23CBFD14" w:rsidR="009C083C" w:rsidRPr="00487BEF" w:rsidRDefault="009C083C" w:rsidP="009C083C">
      <w:pPr>
        <w:spacing w:line="240" w:lineRule="auto"/>
        <w:jc w:val="both"/>
      </w:pPr>
      <w:r w:rsidRPr="00487BEF">
        <w:t>No</w:t>
      </w:r>
      <w:r w:rsidRPr="00487BEF">
        <w:tab/>
      </w:r>
    </w:p>
    <w:p w14:paraId="729BA4E5" w14:textId="313D2227" w:rsidR="009C083C" w:rsidRPr="00487BEF" w:rsidRDefault="009C083C" w:rsidP="009C083C">
      <w:pPr>
        <w:spacing w:line="240" w:lineRule="auto"/>
        <w:jc w:val="both"/>
      </w:pPr>
      <w:r w:rsidRPr="00487BEF">
        <w:rPr>
          <w:highlight w:val="yellow"/>
        </w:rPr>
        <w:t>Partially</w:t>
      </w:r>
    </w:p>
    <w:p w14:paraId="58F02E0D" w14:textId="1B21AFB8" w:rsidR="00E12996" w:rsidRPr="00487BEF" w:rsidRDefault="009C083C" w:rsidP="009C083C">
      <w:pPr>
        <w:spacing w:line="240" w:lineRule="auto"/>
        <w:jc w:val="both"/>
      </w:pPr>
      <w:r w:rsidRPr="00487BEF">
        <w:t>I don’t know</w:t>
      </w:r>
    </w:p>
    <w:p w14:paraId="765EE382" w14:textId="77777777" w:rsidR="009C083C" w:rsidRPr="00487BEF" w:rsidRDefault="009C083C" w:rsidP="009C083C">
      <w:pPr>
        <w:spacing w:line="240" w:lineRule="auto"/>
        <w:jc w:val="both"/>
      </w:pPr>
    </w:p>
    <w:p w14:paraId="7F8B3919" w14:textId="77777777" w:rsidR="009C083C" w:rsidRPr="00487BEF" w:rsidRDefault="009C083C" w:rsidP="009C083C">
      <w:pPr>
        <w:spacing w:line="240" w:lineRule="auto"/>
        <w:jc w:val="both"/>
        <w:rPr>
          <w:i/>
          <w:iCs/>
        </w:rPr>
      </w:pPr>
      <w:r w:rsidRPr="00487BEF">
        <w:rPr>
          <w:i/>
          <w:iCs/>
        </w:rPr>
        <w:t xml:space="preserve">Please explain </w:t>
      </w:r>
    </w:p>
    <w:p w14:paraId="5196A416" w14:textId="6703ECBC" w:rsidR="009C083C" w:rsidRPr="00487BEF" w:rsidRDefault="009C083C" w:rsidP="009C083C">
      <w:pPr>
        <w:spacing w:line="240" w:lineRule="auto"/>
        <w:jc w:val="both"/>
        <w:rPr>
          <w:i/>
          <w:iCs/>
        </w:rPr>
      </w:pPr>
      <w:r w:rsidRPr="00487BEF">
        <w:rPr>
          <w:i/>
          <w:iCs/>
        </w:rPr>
        <w:t>1000 character(s) maximum</w:t>
      </w:r>
    </w:p>
    <w:p w14:paraId="1C9DD013" w14:textId="6D443254" w:rsidR="00736A29" w:rsidRPr="00487BEF" w:rsidRDefault="00736A29" w:rsidP="009C083C">
      <w:pPr>
        <w:spacing w:line="240" w:lineRule="auto"/>
        <w:jc w:val="both"/>
        <w:rPr>
          <w:i/>
          <w:iCs/>
        </w:rPr>
      </w:pPr>
    </w:p>
    <w:p w14:paraId="6C4BC104" w14:textId="6B57C7E1" w:rsidR="00736A29" w:rsidRPr="00487BEF" w:rsidRDefault="00736A29" w:rsidP="009C083C">
      <w:pPr>
        <w:spacing w:line="240" w:lineRule="auto"/>
        <w:jc w:val="both"/>
      </w:pPr>
      <w:r w:rsidRPr="00487BEF">
        <w:t>The important number of State aid schemes and individual measures, along with the volume of aid granted by the Member States for completing their (and the EU’s) “2020 targets” since the EEAG were adopted, show the usefulness of the EEAG for pursuing “policies to support the shift towards a resource-efficient and low-carbon economy” (para. 5 EEAG). This is particularly the case for aid to energy from renewable sources; aid for energy efficiency; and aid for electrification or reduction of greenhouse gas emissions of vehicles and the related infrastructure. However, not all Member States have achieved their targets and, even though State aid is not the only instrument to this end, it has not been used to its full potential by some Member States.</w:t>
      </w:r>
    </w:p>
    <w:p w14:paraId="219BFF59" w14:textId="789FAF81" w:rsidR="00B56A7D" w:rsidRPr="00487BEF" w:rsidRDefault="00B56A7D" w:rsidP="009C083C">
      <w:pPr>
        <w:spacing w:line="240" w:lineRule="auto"/>
        <w:jc w:val="both"/>
      </w:pPr>
    </w:p>
    <w:p w14:paraId="211CCE38" w14:textId="7C818408" w:rsidR="00B56A7D" w:rsidRPr="00487BEF" w:rsidRDefault="00B56A7D" w:rsidP="009C083C">
      <w:pPr>
        <w:spacing w:line="240" w:lineRule="auto"/>
        <w:jc w:val="both"/>
      </w:pPr>
      <w:r w:rsidRPr="00487BEF">
        <w:t>Moreover, the amount of aid granted to conventional, fossil fuel generators under generation (or “resource”) adequacy measures implemented since 2014 show that the objective of phasing out environmentally harmful subsidies (para. 220 EEAG) has not been effectively enforced by the Commission. In this regard, it cannot be conclude that the EEAG, their interpretation by the Commission and their application by the Member States, have achieved the climate and environmental protection objectives even if they have contributed to it.</w:t>
      </w:r>
    </w:p>
    <w:p w14:paraId="0FB32730" w14:textId="77777777" w:rsidR="00B56A7D" w:rsidRPr="00487BEF" w:rsidRDefault="00B56A7D" w:rsidP="009C083C">
      <w:pPr>
        <w:spacing w:line="240" w:lineRule="auto"/>
        <w:jc w:val="both"/>
      </w:pPr>
    </w:p>
    <w:p w14:paraId="0B8318AD" w14:textId="3F5668A8" w:rsidR="00736A29" w:rsidRPr="00487BEF" w:rsidRDefault="00736A29" w:rsidP="009C083C">
      <w:pPr>
        <w:spacing w:line="240" w:lineRule="auto"/>
        <w:jc w:val="both"/>
      </w:pPr>
    </w:p>
    <w:p w14:paraId="6CD11700" w14:textId="77777777" w:rsidR="00487BEF" w:rsidRDefault="00487BEF" w:rsidP="00736A29">
      <w:pPr>
        <w:spacing w:line="240" w:lineRule="auto"/>
        <w:jc w:val="both"/>
        <w:rPr>
          <w:b/>
          <w:color w:val="2F5496" w:themeColor="accent1" w:themeShade="BF"/>
        </w:rPr>
      </w:pPr>
    </w:p>
    <w:p w14:paraId="54162A16" w14:textId="77777777" w:rsidR="00487BEF" w:rsidRDefault="00487BEF" w:rsidP="00736A29">
      <w:pPr>
        <w:spacing w:line="240" w:lineRule="auto"/>
        <w:jc w:val="both"/>
        <w:rPr>
          <w:b/>
          <w:color w:val="2F5496" w:themeColor="accent1" w:themeShade="BF"/>
        </w:rPr>
      </w:pPr>
    </w:p>
    <w:p w14:paraId="0D41CFF1" w14:textId="77777777" w:rsidR="00487BEF" w:rsidRDefault="00487BEF" w:rsidP="00736A29">
      <w:pPr>
        <w:spacing w:line="240" w:lineRule="auto"/>
        <w:jc w:val="both"/>
        <w:rPr>
          <w:b/>
          <w:color w:val="2F5496" w:themeColor="accent1" w:themeShade="BF"/>
        </w:rPr>
      </w:pPr>
    </w:p>
    <w:p w14:paraId="3CB85935" w14:textId="71596342" w:rsidR="00736A29" w:rsidRPr="00487BEF" w:rsidRDefault="00736A29" w:rsidP="00736A29">
      <w:pPr>
        <w:spacing w:line="240" w:lineRule="auto"/>
        <w:jc w:val="both"/>
        <w:rPr>
          <w:b/>
          <w:color w:val="2F5496" w:themeColor="accent1" w:themeShade="BF"/>
        </w:rPr>
      </w:pPr>
      <w:r w:rsidRPr="00487BEF">
        <w:rPr>
          <w:b/>
          <w:color w:val="2F5496" w:themeColor="accent1" w:themeShade="BF"/>
        </w:rPr>
        <w:lastRenderedPageBreak/>
        <w:t>QUESTION 6</w:t>
      </w:r>
    </w:p>
    <w:p w14:paraId="3833BB4B" w14:textId="77777777" w:rsidR="00736A29" w:rsidRPr="00487BEF" w:rsidRDefault="00736A29" w:rsidP="00736A29">
      <w:pPr>
        <w:spacing w:line="240" w:lineRule="auto"/>
        <w:jc w:val="both"/>
        <w:rPr>
          <w:b/>
          <w:color w:val="538135" w:themeColor="accent6" w:themeShade="BF"/>
        </w:rPr>
      </w:pPr>
      <w:r w:rsidRPr="00487BEF">
        <w:rPr>
          <w:b/>
          <w:color w:val="538135" w:themeColor="accent6" w:themeShade="BF"/>
        </w:rPr>
        <w:t>Based on your experience, has State aid granted under the EEAG or the GBER generally</w:t>
      </w:r>
    </w:p>
    <w:p w14:paraId="70F9DDA1" w14:textId="33A51034" w:rsidR="00736A29" w:rsidRPr="00487BEF" w:rsidRDefault="00736A29" w:rsidP="00736A29">
      <w:pPr>
        <w:spacing w:line="240" w:lineRule="auto"/>
        <w:jc w:val="both"/>
        <w:rPr>
          <w:i/>
          <w:iCs/>
        </w:rPr>
      </w:pPr>
      <w:r w:rsidRPr="00487BEF">
        <w:rPr>
          <w:b/>
          <w:color w:val="538135" w:themeColor="accent6" w:themeShade="BF"/>
        </w:rPr>
        <w:t>achieved the relevant energy objectives while maintaining a competitive internal market?</w:t>
      </w:r>
    </w:p>
    <w:p w14:paraId="5D1C0A39" w14:textId="17C121D3" w:rsidR="00736A29" w:rsidRPr="00487BEF" w:rsidRDefault="00736A29" w:rsidP="009C083C">
      <w:pPr>
        <w:spacing w:line="240" w:lineRule="auto"/>
        <w:jc w:val="both"/>
        <w:rPr>
          <w:i/>
          <w:iCs/>
        </w:rPr>
      </w:pPr>
    </w:p>
    <w:p w14:paraId="333D9BB1" w14:textId="77777777" w:rsidR="00736A29" w:rsidRPr="00487BEF" w:rsidRDefault="00736A29" w:rsidP="00736A29">
      <w:pPr>
        <w:spacing w:line="240" w:lineRule="auto"/>
        <w:jc w:val="both"/>
        <w:rPr>
          <w:bCs/>
        </w:rPr>
      </w:pPr>
      <w:r w:rsidRPr="00487BEF">
        <w:rPr>
          <w:bCs/>
        </w:rPr>
        <w:t>Yes</w:t>
      </w:r>
    </w:p>
    <w:p w14:paraId="5D8A985C" w14:textId="77777777" w:rsidR="00736A29" w:rsidRPr="00487BEF" w:rsidRDefault="00736A29" w:rsidP="00736A29">
      <w:pPr>
        <w:spacing w:line="240" w:lineRule="auto"/>
        <w:jc w:val="both"/>
        <w:rPr>
          <w:bCs/>
        </w:rPr>
      </w:pPr>
      <w:r w:rsidRPr="00487BEF">
        <w:rPr>
          <w:bCs/>
        </w:rPr>
        <w:t>No</w:t>
      </w:r>
      <w:r w:rsidRPr="00487BEF">
        <w:rPr>
          <w:bCs/>
        </w:rPr>
        <w:tab/>
      </w:r>
    </w:p>
    <w:p w14:paraId="2903F111" w14:textId="77777777" w:rsidR="00736A29" w:rsidRPr="00487BEF" w:rsidRDefault="00736A29" w:rsidP="00736A29">
      <w:pPr>
        <w:spacing w:line="240" w:lineRule="auto"/>
        <w:jc w:val="both"/>
        <w:rPr>
          <w:bCs/>
        </w:rPr>
      </w:pPr>
      <w:r w:rsidRPr="00487BEF">
        <w:rPr>
          <w:bCs/>
          <w:highlight w:val="yellow"/>
        </w:rPr>
        <w:t>Partially</w:t>
      </w:r>
      <w:r w:rsidRPr="00487BEF">
        <w:rPr>
          <w:bCs/>
        </w:rPr>
        <w:tab/>
      </w:r>
    </w:p>
    <w:p w14:paraId="1743E561" w14:textId="77777777" w:rsidR="00736A29" w:rsidRPr="00487BEF" w:rsidRDefault="00736A29" w:rsidP="00736A29">
      <w:pPr>
        <w:spacing w:line="240" w:lineRule="auto"/>
        <w:jc w:val="both"/>
        <w:rPr>
          <w:bCs/>
        </w:rPr>
      </w:pPr>
      <w:r w:rsidRPr="00487BEF">
        <w:rPr>
          <w:bCs/>
        </w:rPr>
        <w:t>I don’t know</w:t>
      </w:r>
    </w:p>
    <w:p w14:paraId="22C389AA" w14:textId="77777777" w:rsidR="00736A29" w:rsidRPr="00487BEF" w:rsidRDefault="00736A29" w:rsidP="00736A29">
      <w:pPr>
        <w:spacing w:line="240" w:lineRule="auto"/>
        <w:jc w:val="both"/>
        <w:rPr>
          <w:bCs/>
        </w:rPr>
      </w:pPr>
    </w:p>
    <w:p w14:paraId="428506EA" w14:textId="77777777" w:rsidR="00736A29" w:rsidRPr="00487BEF" w:rsidRDefault="00736A29" w:rsidP="00736A29">
      <w:pPr>
        <w:spacing w:line="240" w:lineRule="auto"/>
        <w:jc w:val="both"/>
        <w:rPr>
          <w:i/>
          <w:iCs/>
        </w:rPr>
      </w:pPr>
      <w:r w:rsidRPr="00487BEF">
        <w:rPr>
          <w:i/>
          <w:iCs/>
        </w:rPr>
        <w:t>Please explain</w:t>
      </w:r>
    </w:p>
    <w:p w14:paraId="046715C7" w14:textId="77777777" w:rsidR="00736A29" w:rsidRPr="00487BEF" w:rsidRDefault="00736A29" w:rsidP="00736A29">
      <w:pPr>
        <w:spacing w:line="240" w:lineRule="auto"/>
        <w:jc w:val="both"/>
        <w:rPr>
          <w:i/>
          <w:iCs/>
        </w:rPr>
      </w:pPr>
      <w:r w:rsidRPr="00487BEF">
        <w:rPr>
          <w:i/>
          <w:iCs/>
        </w:rPr>
        <w:t>1000 character(s) maximum</w:t>
      </w:r>
    </w:p>
    <w:p w14:paraId="03AA319A" w14:textId="77777777" w:rsidR="00736A29" w:rsidRPr="00487BEF" w:rsidRDefault="00736A29" w:rsidP="009C083C">
      <w:pPr>
        <w:spacing w:line="240" w:lineRule="auto"/>
        <w:jc w:val="both"/>
      </w:pPr>
    </w:p>
    <w:p w14:paraId="673B4B74" w14:textId="00138FD4" w:rsidR="00736A29" w:rsidRPr="00487BEF" w:rsidRDefault="00736A29" w:rsidP="009C083C">
      <w:pPr>
        <w:spacing w:line="240" w:lineRule="auto"/>
        <w:jc w:val="both"/>
      </w:pPr>
      <w:r w:rsidRPr="00487BEF">
        <w:t xml:space="preserve">Whereas the EEAG contain a number of rules that could support the development of a competitive, sustainable and secure energy market, their interpretation by the </w:t>
      </w:r>
      <w:r w:rsidR="00EB2FEC" w:rsidRPr="00487BEF">
        <w:t xml:space="preserve">EC </w:t>
      </w:r>
      <w:r w:rsidRPr="00487BEF">
        <w:t xml:space="preserve">and their application by the </w:t>
      </w:r>
      <w:r w:rsidR="00EB2FEC" w:rsidRPr="00487BEF">
        <w:t>MS</w:t>
      </w:r>
      <w:r w:rsidRPr="00487BEF">
        <w:t xml:space="preserve"> have regularly demonstrated deficiencies. It is notably the case of capacity remuneration mechanisms where the lack of effective level playing field between capacity providers in terms of access to auctions or adequate lengths of contracts) is limiting the contribution of various resources (demand side response, storage, energy efficiency measures) to security of supply and flexibility of the energy markets.</w:t>
      </w:r>
    </w:p>
    <w:p w14:paraId="279CF619" w14:textId="4B99E3D0" w:rsidR="002D60A0" w:rsidRPr="00487BEF" w:rsidRDefault="002D60A0" w:rsidP="009C083C">
      <w:pPr>
        <w:spacing w:line="240" w:lineRule="auto"/>
        <w:jc w:val="both"/>
      </w:pPr>
    </w:p>
    <w:p w14:paraId="2A9B2F5A" w14:textId="1E7457EE" w:rsidR="00B56A7D" w:rsidRPr="00487BEF" w:rsidRDefault="00B56A7D" w:rsidP="009C083C">
      <w:pPr>
        <w:spacing w:line="240" w:lineRule="auto"/>
        <w:jc w:val="both"/>
      </w:pPr>
    </w:p>
    <w:p w14:paraId="2965CDC3" w14:textId="77777777" w:rsidR="009C083C" w:rsidRPr="00487BEF" w:rsidRDefault="009C083C" w:rsidP="009C083C">
      <w:pPr>
        <w:spacing w:line="240" w:lineRule="auto"/>
        <w:jc w:val="both"/>
      </w:pPr>
    </w:p>
    <w:p w14:paraId="478DB94B" w14:textId="2054F98A" w:rsidR="00562C23" w:rsidRPr="00487BEF" w:rsidRDefault="00562C23" w:rsidP="005C46B6">
      <w:pPr>
        <w:spacing w:line="240" w:lineRule="auto"/>
        <w:jc w:val="both"/>
        <w:rPr>
          <w:b/>
          <w:color w:val="2F5496" w:themeColor="accent1" w:themeShade="BF"/>
        </w:rPr>
      </w:pPr>
      <w:r w:rsidRPr="00487BEF">
        <w:rPr>
          <w:b/>
          <w:color w:val="2F5496" w:themeColor="accent1" w:themeShade="BF"/>
        </w:rPr>
        <w:t xml:space="preserve">QUESTION </w:t>
      </w:r>
      <w:r w:rsidR="009C083C" w:rsidRPr="00487BEF">
        <w:rPr>
          <w:b/>
          <w:color w:val="2F5496" w:themeColor="accent1" w:themeShade="BF"/>
        </w:rPr>
        <w:t>7</w:t>
      </w:r>
    </w:p>
    <w:p w14:paraId="562E30AD" w14:textId="08D4788E" w:rsidR="001646EC" w:rsidRPr="00487BEF" w:rsidRDefault="009C083C" w:rsidP="005C46B6">
      <w:pPr>
        <w:spacing w:line="240" w:lineRule="auto"/>
        <w:jc w:val="both"/>
        <w:rPr>
          <w:b/>
          <w:color w:val="538135" w:themeColor="accent6" w:themeShade="BF"/>
        </w:rPr>
      </w:pPr>
      <w:r w:rsidRPr="00487BEF">
        <w:rPr>
          <w:b/>
          <w:color w:val="538135" w:themeColor="accent6" w:themeShade="BF"/>
        </w:rPr>
        <w:t>Based on your experience, have there been any unexpected or unintended results from the implementation of the EEAG and the corresponding GBER provisions?</w:t>
      </w:r>
    </w:p>
    <w:p w14:paraId="5A2185F3" w14:textId="531C951E" w:rsidR="009C083C" w:rsidRPr="00487BEF" w:rsidRDefault="009C083C" w:rsidP="005C46B6">
      <w:pPr>
        <w:spacing w:line="240" w:lineRule="auto"/>
        <w:jc w:val="both"/>
        <w:rPr>
          <w:b/>
        </w:rPr>
      </w:pPr>
    </w:p>
    <w:p w14:paraId="10ADD860" w14:textId="77777777" w:rsidR="009C083C" w:rsidRPr="00487BEF" w:rsidRDefault="009C083C" w:rsidP="009C083C">
      <w:pPr>
        <w:spacing w:line="240" w:lineRule="auto"/>
        <w:jc w:val="both"/>
        <w:rPr>
          <w:b/>
        </w:rPr>
      </w:pPr>
      <w:r w:rsidRPr="00487BEF">
        <w:rPr>
          <w:b/>
        </w:rPr>
        <w:tab/>
      </w:r>
    </w:p>
    <w:p w14:paraId="12AD3E8D" w14:textId="2876CC30" w:rsidR="009C083C" w:rsidRPr="00487BEF" w:rsidRDefault="009C083C" w:rsidP="009C083C">
      <w:pPr>
        <w:spacing w:line="240" w:lineRule="auto"/>
        <w:jc w:val="both"/>
        <w:rPr>
          <w:bCs/>
        </w:rPr>
      </w:pPr>
      <w:r w:rsidRPr="00487BEF">
        <w:rPr>
          <w:bCs/>
          <w:highlight w:val="yellow"/>
        </w:rPr>
        <w:t>Yes</w:t>
      </w:r>
    </w:p>
    <w:p w14:paraId="4F9B4C5A" w14:textId="168DBB5E" w:rsidR="009C083C" w:rsidRPr="00487BEF" w:rsidRDefault="009C083C" w:rsidP="009C083C">
      <w:pPr>
        <w:spacing w:line="240" w:lineRule="auto"/>
        <w:jc w:val="both"/>
        <w:rPr>
          <w:bCs/>
        </w:rPr>
      </w:pPr>
      <w:r w:rsidRPr="00487BEF">
        <w:rPr>
          <w:bCs/>
        </w:rPr>
        <w:t>No</w:t>
      </w:r>
      <w:r w:rsidRPr="00487BEF">
        <w:rPr>
          <w:bCs/>
        </w:rPr>
        <w:tab/>
      </w:r>
    </w:p>
    <w:p w14:paraId="3AC5E951" w14:textId="4CFB0D8D" w:rsidR="009C083C" w:rsidRPr="00487BEF" w:rsidRDefault="009C083C" w:rsidP="009C083C">
      <w:pPr>
        <w:spacing w:line="240" w:lineRule="auto"/>
        <w:jc w:val="both"/>
        <w:rPr>
          <w:bCs/>
        </w:rPr>
      </w:pPr>
      <w:r w:rsidRPr="00487BEF">
        <w:rPr>
          <w:bCs/>
        </w:rPr>
        <w:t>Partially</w:t>
      </w:r>
      <w:r w:rsidRPr="00487BEF">
        <w:rPr>
          <w:bCs/>
        </w:rPr>
        <w:tab/>
      </w:r>
    </w:p>
    <w:p w14:paraId="0A917193" w14:textId="73765509" w:rsidR="009C083C" w:rsidRPr="00487BEF" w:rsidRDefault="009C083C" w:rsidP="009C083C">
      <w:pPr>
        <w:spacing w:line="240" w:lineRule="auto"/>
        <w:jc w:val="both"/>
        <w:rPr>
          <w:bCs/>
        </w:rPr>
      </w:pPr>
      <w:r w:rsidRPr="00487BEF">
        <w:rPr>
          <w:bCs/>
        </w:rPr>
        <w:t>I don’t know</w:t>
      </w:r>
    </w:p>
    <w:p w14:paraId="1DA935F1" w14:textId="7F871D90" w:rsidR="009C083C" w:rsidRPr="00487BEF" w:rsidRDefault="009C083C" w:rsidP="009C083C">
      <w:pPr>
        <w:spacing w:line="240" w:lineRule="auto"/>
        <w:jc w:val="both"/>
        <w:rPr>
          <w:bCs/>
        </w:rPr>
      </w:pPr>
    </w:p>
    <w:p w14:paraId="5EBBBDED" w14:textId="77777777" w:rsidR="009C083C" w:rsidRPr="00487BEF" w:rsidRDefault="009C083C" w:rsidP="009C083C">
      <w:pPr>
        <w:spacing w:line="240" w:lineRule="auto"/>
        <w:jc w:val="both"/>
        <w:rPr>
          <w:i/>
          <w:iCs/>
        </w:rPr>
      </w:pPr>
      <w:r w:rsidRPr="00487BEF">
        <w:rPr>
          <w:i/>
          <w:iCs/>
        </w:rPr>
        <w:t>Please explain</w:t>
      </w:r>
    </w:p>
    <w:p w14:paraId="10ED5BAB" w14:textId="01BB33CF" w:rsidR="009C083C" w:rsidRPr="00487BEF" w:rsidRDefault="009C083C" w:rsidP="009C083C">
      <w:pPr>
        <w:spacing w:line="240" w:lineRule="auto"/>
        <w:jc w:val="both"/>
        <w:rPr>
          <w:i/>
          <w:iCs/>
        </w:rPr>
      </w:pPr>
      <w:r w:rsidRPr="00487BEF">
        <w:rPr>
          <w:i/>
          <w:iCs/>
        </w:rPr>
        <w:t>1000 character(s) maximum</w:t>
      </w:r>
    </w:p>
    <w:p w14:paraId="05BF4EBD" w14:textId="173C6788" w:rsidR="00736A29" w:rsidRPr="00487BEF" w:rsidRDefault="00736A29" w:rsidP="009C083C">
      <w:pPr>
        <w:spacing w:line="240" w:lineRule="auto"/>
        <w:jc w:val="both"/>
        <w:rPr>
          <w:i/>
          <w:iCs/>
        </w:rPr>
      </w:pPr>
    </w:p>
    <w:p w14:paraId="035C7FBA" w14:textId="46BF68B5" w:rsidR="00736A29" w:rsidRPr="00487BEF" w:rsidRDefault="00596F4B" w:rsidP="009C083C">
      <w:pPr>
        <w:spacing w:line="240" w:lineRule="auto"/>
        <w:jc w:val="both"/>
        <w:rPr>
          <w:i/>
          <w:iCs/>
        </w:rPr>
      </w:pPr>
      <w:r w:rsidRPr="00487BEF">
        <w:t>P</w:t>
      </w:r>
      <w:r w:rsidR="00736A29" w:rsidRPr="00487BEF">
        <w:t>ara. 220 EEAG has not been adequately enforced by the Commission when authorising capacity mechanisms that lock in conventional, fossil fuel generation for a long term. The general use of para. 181-192 that allow Member States from reducing funding of support to RES for energy intensive users is undermining public acceptance of the financing of the energy transition by shifting the financial burden of this support to other consumers (including small undertakings and households).</w:t>
      </w:r>
    </w:p>
    <w:p w14:paraId="6E8A94BB" w14:textId="77777777" w:rsidR="00596F4B" w:rsidRPr="00487BEF" w:rsidRDefault="00596F4B" w:rsidP="009C083C">
      <w:pPr>
        <w:spacing w:line="240" w:lineRule="auto"/>
        <w:jc w:val="both"/>
        <w:rPr>
          <w:b/>
          <w:bCs/>
        </w:rPr>
      </w:pPr>
    </w:p>
    <w:p w14:paraId="16906B39" w14:textId="13FF7AF7" w:rsidR="00596F4B" w:rsidRPr="00487BEF" w:rsidRDefault="00596F4B" w:rsidP="009C083C">
      <w:pPr>
        <w:spacing w:line="240" w:lineRule="auto"/>
        <w:jc w:val="both"/>
        <w:rPr>
          <w:b/>
          <w:bCs/>
        </w:rPr>
      </w:pPr>
    </w:p>
    <w:p w14:paraId="4B1D0622" w14:textId="0865F953" w:rsidR="00596F4B" w:rsidRPr="00487BEF" w:rsidRDefault="00596F4B" w:rsidP="009C083C">
      <w:pPr>
        <w:spacing w:line="240" w:lineRule="auto"/>
        <w:jc w:val="both"/>
        <w:rPr>
          <w:b/>
          <w:bCs/>
        </w:rPr>
      </w:pPr>
    </w:p>
    <w:p w14:paraId="4B1AA7EA" w14:textId="58A88FC7" w:rsidR="00596F4B" w:rsidRPr="00487BEF" w:rsidRDefault="00596F4B" w:rsidP="009C083C">
      <w:pPr>
        <w:spacing w:line="240" w:lineRule="auto"/>
        <w:jc w:val="both"/>
        <w:rPr>
          <w:b/>
          <w:bCs/>
        </w:rPr>
      </w:pPr>
    </w:p>
    <w:p w14:paraId="55A0A1FA" w14:textId="0E72E81D" w:rsidR="00596F4B" w:rsidRPr="00487BEF" w:rsidRDefault="00596F4B" w:rsidP="009C083C">
      <w:pPr>
        <w:spacing w:line="240" w:lineRule="auto"/>
        <w:jc w:val="both"/>
        <w:rPr>
          <w:b/>
          <w:bCs/>
        </w:rPr>
      </w:pPr>
    </w:p>
    <w:p w14:paraId="693F506A" w14:textId="3CFCCEF8" w:rsidR="00596F4B" w:rsidRPr="00487BEF" w:rsidRDefault="00596F4B" w:rsidP="009C083C">
      <w:pPr>
        <w:spacing w:line="240" w:lineRule="auto"/>
        <w:jc w:val="both"/>
        <w:rPr>
          <w:b/>
          <w:bCs/>
        </w:rPr>
      </w:pPr>
    </w:p>
    <w:p w14:paraId="499CDF7A" w14:textId="22362DEE" w:rsidR="00596F4B" w:rsidRPr="00487BEF" w:rsidRDefault="00596F4B" w:rsidP="009C083C">
      <w:pPr>
        <w:spacing w:line="240" w:lineRule="auto"/>
        <w:jc w:val="both"/>
        <w:rPr>
          <w:b/>
          <w:bCs/>
        </w:rPr>
      </w:pPr>
    </w:p>
    <w:p w14:paraId="138CB870" w14:textId="188C6447" w:rsidR="00596F4B" w:rsidRPr="00487BEF" w:rsidRDefault="00596F4B" w:rsidP="009C083C">
      <w:pPr>
        <w:spacing w:line="240" w:lineRule="auto"/>
        <w:jc w:val="both"/>
        <w:rPr>
          <w:b/>
          <w:bCs/>
        </w:rPr>
      </w:pPr>
    </w:p>
    <w:p w14:paraId="5CEFA520" w14:textId="709E9257" w:rsidR="00596F4B" w:rsidRPr="00487BEF" w:rsidRDefault="00596F4B" w:rsidP="009C083C">
      <w:pPr>
        <w:spacing w:line="240" w:lineRule="auto"/>
        <w:jc w:val="both"/>
        <w:rPr>
          <w:b/>
          <w:bCs/>
        </w:rPr>
      </w:pPr>
    </w:p>
    <w:p w14:paraId="0E610C05" w14:textId="3C16CB65" w:rsidR="00596F4B" w:rsidRPr="00487BEF" w:rsidRDefault="00596F4B" w:rsidP="009C083C">
      <w:pPr>
        <w:spacing w:line="240" w:lineRule="auto"/>
        <w:jc w:val="both"/>
        <w:rPr>
          <w:b/>
          <w:bCs/>
        </w:rPr>
      </w:pPr>
    </w:p>
    <w:p w14:paraId="5185C8A4" w14:textId="146F2B73" w:rsidR="00596F4B" w:rsidRPr="00487BEF" w:rsidRDefault="00596F4B" w:rsidP="009C083C">
      <w:pPr>
        <w:spacing w:line="240" w:lineRule="auto"/>
        <w:jc w:val="both"/>
        <w:rPr>
          <w:b/>
          <w:bCs/>
        </w:rPr>
      </w:pPr>
    </w:p>
    <w:p w14:paraId="24FFB7AA" w14:textId="0135B50D" w:rsidR="00596F4B" w:rsidRPr="00487BEF" w:rsidRDefault="00596F4B" w:rsidP="009C083C">
      <w:pPr>
        <w:spacing w:line="240" w:lineRule="auto"/>
        <w:jc w:val="both"/>
        <w:rPr>
          <w:b/>
          <w:bCs/>
        </w:rPr>
      </w:pPr>
    </w:p>
    <w:p w14:paraId="046F615C" w14:textId="77777777" w:rsidR="00596F4B" w:rsidRPr="00487BEF" w:rsidRDefault="00596F4B" w:rsidP="009C083C">
      <w:pPr>
        <w:spacing w:line="240" w:lineRule="auto"/>
        <w:jc w:val="both"/>
        <w:rPr>
          <w:b/>
          <w:bCs/>
        </w:rPr>
      </w:pPr>
    </w:p>
    <w:p w14:paraId="3E100B7E" w14:textId="5578CE55" w:rsidR="00E55356" w:rsidRPr="00487BEF" w:rsidRDefault="00E55356" w:rsidP="009C083C">
      <w:pPr>
        <w:spacing w:line="240" w:lineRule="auto"/>
        <w:jc w:val="both"/>
        <w:rPr>
          <w:b/>
          <w:bCs/>
        </w:rPr>
      </w:pPr>
      <w:r w:rsidRPr="00487BEF">
        <w:rPr>
          <w:b/>
          <w:bCs/>
        </w:rPr>
        <w:t>In this section, we would like to know your opinion about the efficiency of the EEAG and the related GBER provisions.</w:t>
      </w:r>
    </w:p>
    <w:p w14:paraId="142116EE" w14:textId="77777777" w:rsidR="009C083C" w:rsidRPr="00487BEF" w:rsidRDefault="009C083C" w:rsidP="009C083C">
      <w:pPr>
        <w:spacing w:line="240" w:lineRule="auto"/>
        <w:jc w:val="both"/>
        <w:rPr>
          <w:bCs/>
        </w:rPr>
      </w:pPr>
    </w:p>
    <w:p w14:paraId="5B8BB433" w14:textId="223172F8" w:rsidR="00562C23" w:rsidRPr="00487BEF" w:rsidRDefault="00562C23" w:rsidP="00562C23">
      <w:pPr>
        <w:spacing w:line="240" w:lineRule="auto"/>
        <w:rPr>
          <w:b/>
          <w:color w:val="2F5496" w:themeColor="accent1" w:themeShade="BF"/>
        </w:rPr>
      </w:pPr>
      <w:r w:rsidRPr="00487BEF">
        <w:rPr>
          <w:b/>
          <w:color w:val="2F5496" w:themeColor="accent1" w:themeShade="BF"/>
        </w:rPr>
        <w:t xml:space="preserve">QUESTION </w:t>
      </w:r>
      <w:r w:rsidR="009C083C" w:rsidRPr="00487BEF">
        <w:rPr>
          <w:b/>
          <w:color w:val="2F5496" w:themeColor="accent1" w:themeShade="BF"/>
        </w:rPr>
        <w:t>14</w:t>
      </w:r>
    </w:p>
    <w:p w14:paraId="7B8D5B34" w14:textId="3F512490" w:rsidR="00244CF5" w:rsidRPr="00487BEF" w:rsidRDefault="009C083C" w:rsidP="005C46B6">
      <w:pPr>
        <w:spacing w:line="240" w:lineRule="auto"/>
        <w:jc w:val="both"/>
        <w:rPr>
          <w:b/>
          <w:color w:val="538135" w:themeColor="accent6" w:themeShade="BF"/>
        </w:rPr>
      </w:pPr>
      <w:r w:rsidRPr="00487BEF">
        <w:rPr>
          <w:b/>
          <w:color w:val="538135" w:themeColor="accent6" w:themeShade="BF"/>
        </w:rPr>
        <w:t>Based on your experience, to what extent are the different compatibility conditions and methodologies included in the EEAG and the GBER related provisions sufficiently clear and easy to apply:</w:t>
      </w:r>
    </w:p>
    <w:p w14:paraId="48CD0BF4" w14:textId="77777777" w:rsidR="009C083C" w:rsidRPr="00487BEF" w:rsidRDefault="009C083C" w:rsidP="005C46B6">
      <w:pPr>
        <w:spacing w:line="240" w:lineRule="auto"/>
        <w:jc w:val="both"/>
      </w:pPr>
    </w:p>
    <w:p w14:paraId="7D0BBFA5" w14:textId="3E176540" w:rsidR="00684DAC" w:rsidRPr="00487BEF" w:rsidRDefault="00684DAC" w:rsidP="005C46B6">
      <w:pPr>
        <w:spacing w:line="240" w:lineRule="auto"/>
        <w:jc w:val="both"/>
      </w:pPr>
    </w:p>
    <w:p w14:paraId="0E2204EF" w14:textId="1F862608" w:rsidR="009C083C" w:rsidRPr="00487BEF" w:rsidRDefault="009C083C" w:rsidP="005C46B6">
      <w:pPr>
        <w:spacing w:line="240" w:lineRule="auto"/>
        <w:jc w:val="both"/>
      </w:pPr>
    </w:p>
    <w:p w14:paraId="786DD5F2" w14:textId="14FF8C71" w:rsidR="00C94167" w:rsidRPr="00487BEF" w:rsidRDefault="00C94167" w:rsidP="005C46B6">
      <w:pPr>
        <w:spacing w:line="240" w:lineRule="auto"/>
        <w:jc w:val="both"/>
      </w:pPr>
      <w:r w:rsidRPr="00487BEF">
        <w:rPr>
          <w:noProof/>
          <w:lang w:val="fr-FR" w:eastAsia="fr-FR"/>
        </w:rPr>
        <w:drawing>
          <wp:inline distT="0" distB="0" distL="0" distR="0" wp14:anchorId="78BDB9CB" wp14:editId="2F733A1D">
            <wp:extent cx="3253962" cy="40862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60175" cy="4094028"/>
                    </a:xfrm>
                    <a:prstGeom prst="rect">
                      <a:avLst/>
                    </a:prstGeom>
                  </pic:spPr>
                </pic:pic>
              </a:graphicData>
            </a:graphic>
          </wp:inline>
        </w:drawing>
      </w:r>
    </w:p>
    <w:p w14:paraId="655C9D56" w14:textId="77777777" w:rsidR="009C083C" w:rsidRPr="00487BEF" w:rsidRDefault="009C083C" w:rsidP="009C083C">
      <w:pPr>
        <w:spacing w:line="240" w:lineRule="auto"/>
        <w:jc w:val="both"/>
        <w:rPr>
          <w:i/>
          <w:iCs/>
        </w:rPr>
      </w:pPr>
      <w:r w:rsidRPr="00487BEF">
        <w:rPr>
          <w:i/>
          <w:iCs/>
        </w:rPr>
        <w:t xml:space="preserve">Please explain </w:t>
      </w:r>
    </w:p>
    <w:p w14:paraId="24D76F79" w14:textId="46EBF681" w:rsidR="009C083C" w:rsidRPr="00487BEF" w:rsidRDefault="009C083C" w:rsidP="009C083C">
      <w:pPr>
        <w:spacing w:line="240" w:lineRule="auto"/>
        <w:jc w:val="both"/>
        <w:rPr>
          <w:i/>
          <w:iCs/>
        </w:rPr>
      </w:pPr>
      <w:r w:rsidRPr="00487BEF">
        <w:rPr>
          <w:i/>
          <w:iCs/>
        </w:rPr>
        <w:t>5000 character(s) maximum</w:t>
      </w:r>
    </w:p>
    <w:p w14:paraId="62C27F14" w14:textId="47861D87" w:rsidR="009C083C" w:rsidRPr="00487BEF" w:rsidRDefault="009C083C" w:rsidP="005C46B6">
      <w:pPr>
        <w:spacing w:line="240" w:lineRule="auto"/>
        <w:jc w:val="both"/>
      </w:pPr>
    </w:p>
    <w:p w14:paraId="7EC071A5" w14:textId="30EA56B5" w:rsidR="00894FC2" w:rsidRPr="00487BEF" w:rsidRDefault="00894FC2" w:rsidP="00C94167">
      <w:pPr>
        <w:pStyle w:val="CommentText"/>
        <w:jc w:val="both"/>
        <w:rPr>
          <w:sz w:val="22"/>
          <w:szCs w:val="22"/>
        </w:rPr>
      </w:pPr>
      <w:r w:rsidRPr="00487BEF">
        <w:rPr>
          <w:sz w:val="22"/>
          <w:szCs w:val="22"/>
        </w:rPr>
        <w:t>Regarding the second question the methodology on calculating eligible costs for</w:t>
      </w:r>
      <w:r w:rsidR="005F08D6" w:rsidRPr="00487BEF">
        <w:rPr>
          <w:sz w:val="22"/>
          <w:szCs w:val="22"/>
        </w:rPr>
        <w:t xml:space="preserve"> </w:t>
      </w:r>
      <w:r w:rsidRPr="00487BEF">
        <w:rPr>
          <w:sz w:val="22"/>
          <w:szCs w:val="22"/>
        </w:rPr>
        <w:t>investment aid to go beyond standards under art 36, we heard that in some countries</w:t>
      </w:r>
      <w:r w:rsidR="00C94167" w:rsidRPr="00487BEF">
        <w:rPr>
          <w:sz w:val="22"/>
          <w:szCs w:val="22"/>
        </w:rPr>
        <w:t xml:space="preserve"> supporting</w:t>
      </w:r>
      <w:r w:rsidRPr="00487BEF">
        <w:rPr>
          <w:sz w:val="22"/>
          <w:szCs w:val="22"/>
        </w:rPr>
        <w:t xml:space="preserve"> programmes going beyond standards for new buildings were cancelled as it was too difficult to prove the compliance with art 36. The M</w:t>
      </w:r>
      <w:r w:rsidR="00C94167" w:rsidRPr="00487BEF">
        <w:rPr>
          <w:sz w:val="22"/>
          <w:szCs w:val="22"/>
        </w:rPr>
        <w:t>ember State</w:t>
      </w:r>
      <w:r w:rsidRPr="00487BEF">
        <w:rPr>
          <w:sz w:val="22"/>
          <w:szCs w:val="22"/>
        </w:rPr>
        <w:t xml:space="preserve"> was asked to submit calculations of a counterfactual comparison for each individually supported project, which was seen as too much of an administrative burden. There was also a risk of a post-implementation overcompensation test which is often not feasible on a real-estate market. </w:t>
      </w:r>
    </w:p>
    <w:p w14:paraId="7F27A2AD" w14:textId="5FFDF4CB" w:rsidR="00894FC2" w:rsidRPr="00487BEF" w:rsidRDefault="00894FC2" w:rsidP="00C94167">
      <w:pPr>
        <w:spacing w:line="240" w:lineRule="auto"/>
        <w:jc w:val="both"/>
      </w:pPr>
    </w:p>
    <w:p w14:paraId="0F133091" w14:textId="553EA491" w:rsidR="00C94167" w:rsidRPr="00487BEF" w:rsidRDefault="00C94167" w:rsidP="00C94167">
      <w:pPr>
        <w:pStyle w:val="CommentText"/>
        <w:jc w:val="both"/>
        <w:rPr>
          <w:sz w:val="22"/>
          <w:szCs w:val="22"/>
        </w:rPr>
      </w:pPr>
      <w:r w:rsidRPr="00487BEF">
        <w:rPr>
          <w:sz w:val="22"/>
          <w:szCs w:val="22"/>
        </w:rPr>
        <w:t>I</w:t>
      </w:r>
      <w:r w:rsidRPr="00487BEF">
        <w:rPr>
          <w:sz w:val="22"/>
          <w:szCs w:val="22"/>
        </w:rPr>
        <w:t>n some countries art. 39 has not been used due to the hurdle of showing compliance with detailed rules for example around financial instruments. In S</w:t>
      </w:r>
      <w:r w:rsidRPr="00487BEF">
        <w:rPr>
          <w:sz w:val="22"/>
          <w:szCs w:val="22"/>
        </w:rPr>
        <w:t>lovakia</w:t>
      </w:r>
      <w:r w:rsidRPr="00487BEF">
        <w:rPr>
          <w:sz w:val="22"/>
          <w:szCs w:val="22"/>
        </w:rPr>
        <w:t xml:space="preserve"> projects run into significant delays as occupants living in condominiums or single-family houses that also own businesses - with activities not connected to these houses (no hostels, hotels, etc.) – had to perform additional administrative work before the projects could start. It appears that art 39 is not being </w:t>
      </w:r>
      <w:r w:rsidRPr="00487BEF">
        <w:rPr>
          <w:sz w:val="22"/>
          <w:szCs w:val="22"/>
        </w:rPr>
        <w:lastRenderedPageBreak/>
        <w:t xml:space="preserve">used in such cases due to the hurdle of showing compliance with detailed rules and instead compliance of building renovation programmes with GBER is shown by using art 38. </w:t>
      </w:r>
    </w:p>
    <w:p w14:paraId="6AFCDA88" w14:textId="77777777" w:rsidR="00C94167" w:rsidRPr="00487BEF" w:rsidRDefault="00C94167" w:rsidP="00C94167">
      <w:pPr>
        <w:pStyle w:val="CommentText"/>
        <w:jc w:val="both"/>
        <w:rPr>
          <w:sz w:val="22"/>
          <w:szCs w:val="22"/>
        </w:rPr>
      </w:pPr>
    </w:p>
    <w:p w14:paraId="015879D6" w14:textId="445928C8" w:rsidR="00C94167" w:rsidRPr="00487BEF" w:rsidRDefault="00C94167" w:rsidP="00C94167">
      <w:pPr>
        <w:pStyle w:val="CommentText"/>
        <w:jc w:val="both"/>
        <w:rPr>
          <w:sz w:val="22"/>
          <w:szCs w:val="22"/>
        </w:rPr>
      </w:pPr>
      <w:r w:rsidRPr="00487BEF">
        <w:rPr>
          <w:sz w:val="22"/>
          <w:szCs w:val="22"/>
        </w:rPr>
        <w:t>It would be advisable if the C</w:t>
      </w:r>
      <w:r w:rsidR="00487BEF">
        <w:rPr>
          <w:sz w:val="22"/>
          <w:szCs w:val="22"/>
        </w:rPr>
        <w:t>ommission</w:t>
      </w:r>
      <w:r w:rsidRPr="00487BEF">
        <w:rPr>
          <w:sz w:val="22"/>
          <w:szCs w:val="22"/>
        </w:rPr>
        <w:t xml:space="preserve"> could look into such matters to clarify or adapt state aid rules to support public authorities, building occupants and market actors to unlock the </w:t>
      </w:r>
      <w:r w:rsidR="00487BEF">
        <w:rPr>
          <w:sz w:val="22"/>
          <w:szCs w:val="22"/>
        </w:rPr>
        <w:t>energy efficiency</w:t>
      </w:r>
      <w:r w:rsidRPr="00487BEF">
        <w:rPr>
          <w:sz w:val="22"/>
          <w:szCs w:val="22"/>
        </w:rPr>
        <w:t xml:space="preserve"> potential in the EU building stock. </w:t>
      </w:r>
    </w:p>
    <w:p w14:paraId="33DAEE6A" w14:textId="77777777" w:rsidR="009C083C" w:rsidRPr="00487BEF" w:rsidRDefault="009C083C" w:rsidP="005C46B6">
      <w:pPr>
        <w:spacing w:line="240" w:lineRule="auto"/>
        <w:jc w:val="both"/>
      </w:pPr>
    </w:p>
    <w:p w14:paraId="21DF78B0" w14:textId="1525C7AA" w:rsidR="009C083C" w:rsidRPr="00487BEF" w:rsidRDefault="009C083C" w:rsidP="00684DAC">
      <w:pPr>
        <w:jc w:val="both"/>
      </w:pPr>
    </w:p>
    <w:p w14:paraId="6569826C" w14:textId="2A6602A1" w:rsidR="009C083C" w:rsidRPr="00487BEF" w:rsidRDefault="009C083C" w:rsidP="00684DAC">
      <w:pPr>
        <w:jc w:val="both"/>
        <w:rPr>
          <w:rStyle w:val="Strong"/>
          <w:color w:val="000000"/>
          <w:shd w:val="clear" w:color="auto" w:fill="FFFFFF"/>
        </w:rPr>
      </w:pPr>
      <w:r w:rsidRPr="00487BEF">
        <w:rPr>
          <w:rStyle w:val="Strong"/>
          <w:color w:val="000000"/>
          <w:shd w:val="clear" w:color="auto" w:fill="FFFFFF"/>
        </w:rPr>
        <w:t>In this section, we would like to know your opinion on the extent to which the EEAG and the related GBER provisions are coherent with other EU policies and legislations.</w:t>
      </w:r>
    </w:p>
    <w:p w14:paraId="267FB621" w14:textId="77777777" w:rsidR="009C083C" w:rsidRPr="00487BEF" w:rsidRDefault="009C083C" w:rsidP="00684DAC">
      <w:pPr>
        <w:jc w:val="both"/>
        <w:rPr>
          <w:rStyle w:val="Strong"/>
          <w:color w:val="000000"/>
          <w:shd w:val="clear" w:color="auto" w:fill="FFFFFF"/>
        </w:rPr>
      </w:pPr>
    </w:p>
    <w:p w14:paraId="6ABD62F8" w14:textId="78B1DC86" w:rsidR="009C083C" w:rsidRPr="00487BEF" w:rsidRDefault="009C083C" w:rsidP="009C083C">
      <w:pPr>
        <w:spacing w:line="240" w:lineRule="auto"/>
        <w:jc w:val="both"/>
        <w:rPr>
          <w:b/>
          <w:color w:val="2F5496" w:themeColor="accent1" w:themeShade="BF"/>
        </w:rPr>
      </w:pPr>
      <w:r w:rsidRPr="00487BEF">
        <w:rPr>
          <w:b/>
          <w:color w:val="2F5496" w:themeColor="accent1" w:themeShade="BF"/>
        </w:rPr>
        <w:t>QUESTION 18</w:t>
      </w:r>
      <w:r w:rsidRPr="00487BEF">
        <w:rPr>
          <w:b/>
          <w:color w:val="2F5496" w:themeColor="accent1" w:themeShade="BF"/>
        </w:rPr>
        <w:softHyphen/>
      </w:r>
      <w:r w:rsidRPr="00487BEF">
        <w:rPr>
          <w:b/>
          <w:color w:val="2F5496" w:themeColor="accent1" w:themeShade="BF"/>
        </w:rPr>
        <w:softHyphen/>
      </w:r>
      <w:r w:rsidRPr="00487BEF">
        <w:rPr>
          <w:b/>
          <w:color w:val="2F5496" w:themeColor="accent1" w:themeShade="BF"/>
        </w:rPr>
        <w:softHyphen/>
      </w:r>
    </w:p>
    <w:p w14:paraId="7E8AB59B" w14:textId="77777777" w:rsidR="009C083C" w:rsidRPr="00487BEF" w:rsidRDefault="009C083C" w:rsidP="009C083C">
      <w:pPr>
        <w:spacing w:line="240" w:lineRule="auto"/>
        <w:jc w:val="both"/>
        <w:rPr>
          <w:b/>
          <w:color w:val="538135" w:themeColor="accent6" w:themeShade="BF"/>
        </w:rPr>
      </w:pPr>
      <w:r w:rsidRPr="00487BEF">
        <w:rPr>
          <w:b/>
          <w:color w:val="538135" w:themeColor="accent6" w:themeShade="BF"/>
        </w:rPr>
        <w:t>Based on your experience, have the EEAG and GBER adequately addressed recent market developments or technological changes such as:</w:t>
      </w:r>
    </w:p>
    <w:p w14:paraId="5960A61B" w14:textId="1A73D57A" w:rsidR="009C083C" w:rsidRPr="00487BEF" w:rsidRDefault="009C083C" w:rsidP="00684DAC">
      <w:pPr>
        <w:jc w:val="both"/>
        <w:rPr>
          <w:rStyle w:val="Strong"/>
          <w:color w:val="000000"/>
          <w:shd w:val="clear" w:color="auto" w:fill="FFFFFF"/>
        </w:rPr>
      </w:pPr>
      <w:r w:rsidRPr="00487BEF">
        <w:rPr>
          <w:noProof/>
          <w:lang w:val="fr-FR" w:eastAsia="fr-FR"/>
        </w:rPr>
        <w:drawing>
          <wp:inline distT="0" distB="0" distL="0" distR="0" wp14:anchorId="68D17632" wp14:editId="65F50B13">
            <wp:extent cx="4711700" cy="321304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17998" cy="3217340"/>
                    </a:xfrm>
                    <a:prstGeom prst="rect">
                      <a:avLst/>
                    </a:prstGeom>
                  </pic:spPr>
                </pic:pic>
              </a:graphicData>
            </a:graphic>
          </wp:inline>
        </w:drawing>
      </w:r>
    </w:p>
    <w:p w14:paraId="631ECF6B" w14:textId="77777777" w:rsidR="009C083C" w:rsidRPr="00487BEF" w:rsidRDefault="009C083C" w:rsidP="009C083C">
      <w:pPr>
        <w:spacing w:line="240" w:lineRule="auto"/>
        <w:jc w:val="both"/>
        <w:rPr>
          <w:i/>
          <w:iCs/>
        </w:rPr>
      </w:pPr>
      <w:r w:rsidRPr="00487BEF">
        <w:rPr>
          <w:i/>
          <w:iCs/>
        </w:rPr>
        <w:t xml:space="preserve">Please explain </w:t>
      </w:r>
    </w:p>
    <w:p w14:paraId="30081723" w14:textId="364C019A" w:rsidR="009C083C" w:rsidRPr="00487BEF" w:rsidRDefault="009C083C" w:rsidP="009C083C">
      <w:pPr>
        <w:spacing w:line="240" w:lineRule="auto"/>
        <w:jc w:val="both"/>
        <w:rPr>
          <w:i/>
          <w:iCs/>
        </w:rPr>
      </w:pPr>
      <w:r w:rsidRPr="00487BEF">
        <w:rPr>
          <w:i/>
          <w:iCs/>
        </w:rPr>
        <w:t>5000 character(s) maximum</w:t>
      </w:r>
    </w:p>
    <w:p w14:paraId="1440D5DA" w14:textId="454CE3B8" w:rsidR="00F97136" w:rsidRPr="00487BEF" w:rsidRDefault="00F97136" w:rsidP="00596F4B">
      <w:pPr>
        <w:spacing w:line="240" w:lineRule="auto"/>
        <w:jc w:val="both"/>
        <w:rPr>
          <w:i/>
          <w:iCs/>
        </w:rPr>
      </w:pPr>
    </w:p>
    <w:p w14:paraId="04886E98" w14:textId="77777777" w:rsidR="00596F4B" w:rsidRPr="00487BEF" w:rsidRDefault="00596F4B" w:rsidP="00596F4B">
      <w:pPr>
        <w:spacing w:after="3" w:line="259" w:lineRule="auto"/>
        <w:ind w:right="93"/>
        <w:jc w:val="both"/>
      </w:pPr>
      <w:r w:rsidRPr="00487BEF">
        <w:t>In relation with the new framework for energy efficiency measures, we support the full implementation of the “energy efficiency first” principle and its embodiment as an objective of common interest and guiding principle in the next guidelines.  As recommended by recital (64) of the Governance Regulation: “Member States should use the energy efficiency first principle, which means to consider, before taking energy planning, policy and investment decisions, whether cost-efficient, technically, economically and environmentally sound alternative energy efficiency measures could replace in whole or in part the envisaged planning, policy and investment measures, whilst still achieving the objectives of the respective decisions. This includes, in particular, the treatment of energy efficiency as a crucial element and a key consideration in future investment decisions on energy infrastructure in the Union. Such cost-efficient alternatives include measures to make energy demand and energy supply more efficient, in particular by means of cost-effective end-use energy savings, demand response initiatives and more efficient conversion, transmission and distribution of energy.”</w:t>
      </w:r>
    </w:p>
    <w:p w14:paraId="010763A9" w14:textId="77777777" w:rsidR="00596F4B" w:rsidRPr="00487BEF" w:rsidRDefault="00596F4B" w:rsidP="00596F4B">
      <w:pPr>
        <w:spacing w:after="3" w:line="259" w:lineRule="auto"/>
        <w:ind w:right="93"/>
        <w:jc w:val="both"/>
      </w:pPr>
      <w:r w:rsidRPr="00487BEF">
        <w:lastRenderedPageBreak/>
        <w:t>This should find a direct, effective translation in several aspects of the next guidelines that are not directly related to creating new energy efficiency measures. In particular, energy efficiency measures and demand side response initiatives should be taken into account when assessing the need for, and size of, capacity mechanisms.</w:t>
      </w:r>
    </w:p>
    <w:p w14:paraId="31C8EF13" w14:textId="77777777" w:rsidR="00596F4B" w:rsidRPr="00487BEF" w:rsidRDefault="00596F4B" w:rsidP="009C083C">
      <w:pPr>
        <w:spacing w:line="240" w:lineRule="auto"/>
        <w:jc w:val="both"/>
        <w:rPr>
          <w:i/>
          <w:iCs/>
        </w:rPr>
      </w:pPr>
    </w:p>
    <w:p w14:paraId="660B97AA" w14:textId="287BEFFD" w:rsidR="00F97136" w:rsidRPr="00487BEF" w:rsidRDefault="00F97136" w:rsidP="009C083C">
      <w:pPr>
        <w:spacing w:line="240" w:lineRule="auto"/>
        <w:jc w:val="both"/>
        <w:rPr>
          <w:i/>
          <w:iCs/>
        </w:rPr>
      </w:pPr>
    </w:p>
    <w:p w14:paraId="08C8EC1F" w14:textId="1AAD9289" w:rsidR="00D42CD0" w:rsidRPr="00487BEF" w:rsidRDefault="00596F4B" w:rsidP="00684DAC">
      <w:pPr>
        <w:jc w:val="both"/>
      </w:pPr>
      <w:r w:rsidRPr="00487BEF">
        <w:rPr>
          <w:i/>
          <w:iCs/>
        </w:rPr>
        <w:t>END</w:t>
      </w:r>
    </w:p>
    <w:p w14:paraId="5C0777F1" w14:textId="25914E57" w:rsidR="00296528" w:rsidRPr="00487BEF" w:rsidRDefault="00296528" w:rsidP="00296528">
      <w:pPr>
        <w:jc w:val="center"/>
        <w:rPr>
          <w:b/>
          <w:color w:val="1F3864" w:themeColor="accent1" w:themeShade="80"/>
        </w:rPr>
      </w:pPr>
    </w:p>
    <w:p w14:paraId="05E8AE34" w14:textId="2B8F3CFA" w:rsidR="00296528" w:rsidRPr="00487BEF" w:rsidRDefault="00296528" w:rsidP="00296528">
      <w:pPr>
        <w:jc w:val="center"/>
        <w:rPr>
          <w:b/>
          <w:color w:val="1F3864" w:themeColor="accent1" w:themeShade="80"/>
        </w:rPr>
      </w:pPr>
      <w:r w:rsidRPr="00487BEF">
        <w:rPr>
          <w:b/>
          <w:color w:val="1F3864" w:themeColor="accent1" w:themeShade="80"/>
        </w:rPr>
        <w:t>About the European Alliance to Save Energy (EU-ASE)</w:t>
      </w:r>
    </w:p>
    <w:p w14:paraId="3D4FCA53" w14:textId="77777777" w:rsidR="00296528" w:rsidRPr="00487BEF" w:rsidRDefault="00296528" w:rsidP="00684DAC">
      <w:pPr>
        <w:jc w:val="both"/>
      </w:pPr>
    </w:p>
    <w:p w14:paraId="76F455F3" w14:textId="22ECC472" w:rsidR="00296528" w:rsidRPr="00487BEF" w:rsidRDefault="00296528" w:rsidP="00296528">
      <w:pPr>
        <w:spacing w:line="240" w:lineRule="auto"/>
        <w:jc w:val="both"/>
      </w:pPr>
      <w:r w:rsidRPr="00487BEF">
        <w:t xml:space="preserve">EU-ASE was established in December 2010 by some of Europe’s leading multinational companies. The Alliance creates a platform from which our companies (Danfoss, Kingspan, Knauf Insulation, Saint-Gobain, Schneider Electric, Siemens, Signify, and Veolia) can join with politicians and thought leaders to ensure the voice of energy efficiency is heard from across the business and political community. </w:t>
      </w:r>
    </w:p>
    <w:p w14:paraId="0494A8F3" w14:textId="77777777" w:rsidR="00296528" w:rsidRPr="00487BEF" w:rsidRDefault="00296528" w:rsidP="00296528">
      <w:pPr>
        <w:spacing w:line="240" w:lineRule="auto"/>
        <w:jc w:val="both"/>
      </w:pPr>
    </w:p>
    <w:p w14:paraId="527727C3" w14:textId="16924603" w:rsidR="00296528" w:rsidRPr="00487BEF" w:rsidRDefault="00296528" w:rsidP="00296528">
      <w:pPr>
        <w:spacing w:line="240" w:lineRule="auto"/>
        <w:jc w:val="both"/>
      </w:pPr>
      <w:r w:rsidRPr="00487BEF">
        <w:t>EU-ASE members have operations across the 28 Member States of the European Union, employ over 340.000 people in Europe and have an aggregated annual turnover of €115 billion.</w:t>
      </w:r>
    </w:p>
    <w:p w14:paraId="5533EADF" w14:textId="43C64D4B" w:rsidR="00923BC3" w:rsidRPr="00487BEF" w:rsidRDefault="00923BC3" w:rsidP="00684DAC">
      <w:pPr>
        <w:jc w:val="both"/>
      </w:pPr>
    </w:p>
    <w:p w14:paraId="29901FBF" w14:textId="191EB2A3" w:rsidR="00923BC3" w:rsidRPr="00487BEF" w:rsidRDefault="00923BC3" w:rsidP="00684DAC">
      <w:pPr>
        <w:jc w:val="both"/>
      </w:pPr>
    </w:p>
    <w:p w14:paraId="49B7DF4C" w14:textId="72FEC6CA" w:rsidR="00923BC3" w:rsidRPr="00487BEF" w:rsidRDefault="00296528" w:rsidP="00684DAC">
      <w:pPr>
        <w:jc w:val="both"/>
      </w:pPr>
      <w:r w:rsidRPr="00487BEF">
        <w:rPr>
          <w:noProof/>
          <w:lang w:val="fr-FR" w:eastAsia="fr-FR"/>
        </w:rPr>
        <w:drawing>
          <wp:inline distT="0" distB="0" distL="0" distR="0" wp14:anchorId="331D39E1" wp14:editId="35A63168">
            <wp:extent cx="5667375" cy="34880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73" r="1053" b="-1"/>
                    <a:stretch/>
                  </pic:blipFill>
                  <pic:spPr bwMode="auto">
                    <a:xfrm>
                      <a:off x="0" y="0"/>
                      <a:ext cx="5667375" cy="3488055"/>
                    </a:xfrm>
                    <a:prstGeom prst="rect">
                      <a:avLst/>
                    </a:prstGeom>
                    <a:ln>
                      <a:noFill/>
                    </a:ln>
                    <a:extLst>
                      <a:ext uri="{53640926-AAD7-44D8-BBD7-CCE9431645EC}">
                        <a14:shadowObscured xmlns:a14="http://schemas.microsoft.com/office/drawing/2010/main"/>
                      </a:ext>
                    </a:extLst>
                  </pic:spPr>
                </pic:pic>
              </a:graphicData>
            </a:graphic>
          </wp:inline>
        </w:drawing>
      </w:r>
    </w:p>
    <w:sectPr w:rsidR="00923BC3" w:rsidRPr="00487BEF" w:rsidSect="009C083C">
      <w:headerReference w:type="default" r:id="rId11"/>
      <w:pgSz w:w="11900" w:h="16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BE97E" w14:textId="77777777" w:rsidR="008368BF" w:rsidRDefault="008368BF" w:rsidP="001E3025">
      <w:pPr>
        <w:spacing w:line="240" w:lineRule="auto"/>
      </w:pPr>
      <w:r>
        <w:separator/>
      </w:r>
    </w:p>
  </w:endnote>
  <w:endnote w:type="continuationSeparator" w:id="0">
    <w:p w14:paraId="4E27D325" w14:textId="77777777" w:rsidR="008368BF" w:rsidRDefault="008368BF" w:rsidP="001E3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35603" w14:textId="77777777" w:rsidR="008368BF" w:rsidRDefault="008368BF" w:rsidP="001E3025">
      <w:pPr>
        <w:spacing w:line="240" w:lineRule="auto"/>
      </w:pPr>
      <w:r>
        <w:separator/>
      </w:r>
    </w:p>
  </w:footnote>
  <w:footnote w:type="continuationSeparator" w:id="0">
    <w:p w14:paraId="3577D821" w14:textId="77777777" w:rsidR="008368BF" w:rsidRDefault="008368BF" w:rsidP="001E30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48F4" w14:textId="31D2ED1B" w:rsidR="009C083C" w:rsidRDefault="009C083C">
    <w:pPr>
      <w:pStyle w:val="Header"/>
    </w:pPr>
    <w:r>
      <w:rPr>
        <w:noProof/>
        <w:lang w:val="fr-FR" w:eastAsia="fr-FR"/>
      </w:rPr>
      <w:drawing>
        <wp:anchor distT="0" distB="0" distL="114300" distR="114300" simplePos="0" relativeHeight="251658240" behindDoc="1" locked="0" layoutInCell="1" allowOverlap="1" wp14:anchorId="3E28749C" wp14:editId="61149D5F">
          <wp:simplePos x="0" y="0"/>
          <wp:positionH relativeFrom="margin">
            <wp:posOffset>2178050</wp:posOffset>
          </wp:positionH>
          <wp:positionV relativeFrom="paragraph">
            <wp:posOffset>-325660</wp:posOffset>
          </wp:positionV>
          <wp:extent cx="1079500" cy="783590"/>
          <wp:effectExtent l="0" t="0" r="6350" b="0"/>
          <wp:wrapTight wrapText="bothSides">
            <wp:wrapPolygon edited="0">
              <wp:start x="0" y="0"/>
              <wp:lineTo x="0" y="21005"/>
              <wp:lineTo x="21346" y="21005"/>
              <wp:lineTo x="21346" y="0"/>
              <wp:lineTo x="0" y="0"/>
            </wp:wrapPolygon>
          </wp:wrapTight>
          <wp:docPr id="7" name="Picture 7"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ase_logo.png"/>
                  <pic:cNvPicPr/>
                </pic:nvPicPr>
                <pic:blipFill>
                  <a:blip r:embed="rId1">
                    <a:extLst>
                      <a:ext uri="{28A0092B-C50C-407E-A947-70E740481C1C}">
                        <a14:useLocalDpi xmlns:a14="http://schemas.microsoft.com/office/drawing/2010/main" val="0"/>
                      </a:ext>
                    </a:extLst>
                  </a:blip>
                  <a:stretch>
                    <a:fillRect/>
                  </a:stretch>
                </pic:blipFill>
                <pic:spPr>
                  <a:xfrm>
                    <a:off x="0" y="0"/>
                    <a:ext cx="1079500" cy="783590"/>
                  </a:xfrm>
                  <a:prstGeom prst="rect">
                    <a:avLst/>
                  </a:prstGeom>
                </pic:spPr>
              </pic:pic>
            </a:graphicData>
          </a:graphic>
          <wp14:sizeRelH relativeFrom="margin">
            <wp14:pctWidth>0</wp14:pctWidth>
          </wp14:sizeRelH>
          <wp14:sizeRelV relativeFrom="margin">
            <wp14:pctHeight>0</wp14:pctHeight>
          </wp14:sizeRelV>
        </wp:anchor>
      </w:drawing>
    </w:r>
  </w:p>
  <w:p w14:paraId="5A430C2A" w14:textId="77777777" w:rsidR="009C083C" w:rsidRDefault="009C083C">
    <w:pPr>
      <w:pStyle w:val="Header"/>
    </w:pPr>
  </w:p>
  <w:p w14:paraId="4458493E" w14:textId="03DEF2D0" w:rsidR="009C083C" w:rsidRDefault="009C083C">
    <w:pPr>
      <w:pStyle w:val="Header"/>
    </w:pPr>
  </w:p>
  <w:p w14:paraId="1B15CC6A" w14:textId="77777777" w:rsidR="009C083C" w:rsidRDefault="009C0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F6E"/>
    <w:multiLevelType w:val="hybridMultilevel"/>
    <w:tmpl w:val="7EC01E92"/>
    <w:lvl w:ilvl="0" w:tplc="83282512">
      <w:numFmt w:val="bullet"/>
      <w:lvlText w:val="-"/>
      <w:lvlJc w:val="left"/>
      <w:pPr>
        <w:ind w:left="720" w:hanging="360"/>
      </w:pPr>
      <w:rPr>
        <w:rFonts w:ascii="Arial" w:eastAsia="Arial"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4A2A16"/>
    <w:multiLevelType w:val="hybridMultilevel"/>
    <w:tmpl w:val="A5C4DCD8"/>
    <w:lvl w:ilvl="0" w:tplc="950C6E16">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B4569E"/>
    <w:multiLevelType w:val="multilevel"/>
    <w:tmpl w:val="4F96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511CC0"/>
    <w:multiLevelType w:val="multilevel"/>
    <w:tmpl w:val="546A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7619A0"/>
    <w:multiLevelType w:val="hybridMultilevel"/>
    <w:tmpl w:val="9EA487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BB446D9"/>
    <w:multiLevelType w:val="multilevel"/>
    <w:tmpl w:val="7ED8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CE5D96"/>
    <w:multiLevelType w:val="multilevel"/>
    <w:tmpl w:val="07E4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A02DB8"/>
    <w:multiLevelType w:val="multilevel"/>
    <w:tmpl w:val="4AA8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1F0B5F"/>
    <w:multiLevelType w:val="multilevel"/>
    <w:tmpl w:val="CF8E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F5046B"/>
    <w:multiLevelType w:val="multilevel"/>
    <w:tmpl w:val="4DDE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4D1021"/>
    <w:multiLevelType w:val="hybridMultilevel"/>
    <w:tmpl w:val="FCBAFFD4"/>
    <w:lvl w:ilvl="0" w:tplc="0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2782DE6"/>
    <w:multiLevelType w:val="hybridMultilevel"/>
    <w:tmpl w:val="34BC5BE2"/>
    <w:lvl w:ilvl="0" w:tplc="950C6E16">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52F6440"/>
    <w:multiLevelType w:val="multilevel"/>
    <w:tmpl w:val="8E1C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3252E5"/>
    <w:multiLevelType w:val="hybridMultilevel"/>
    <w:tmpl w:val="CDEEC6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D063E53"/>
    <w:multiLevelType w:val="hybridMultilevel"/>
    <w:tmpl w:val="1C36B620"/>
    <w:lvl w:ilvl="0" w:tplc="8A1CE2D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D8D02AA"/>
    <w:multiLevelType w:val="hybridMultilevel"/>
    <w:tmpl w:val="7B96A138"/>
    <w:lvl w:ilvl="0" w:tplc="1A22FB0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B1F0A"/>
    <w:multiLevelType w:val="multilevel"/>
    <w:tmpl w:val="05BA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7"/>
  </w:num>
  <w:num w:numId="4">
    <w:abstractNumId w:val="9"/>
  </w:num>
  <w:num w:numId="5">
    <w:abstractNumId w:val="2"/>
  </w:num>
  <w:num w:numId="6">
    <w:abstractNumId w:val="8"/>
  </w:num>
  <w:num w:numId="7">
    <w:abstractNumId w:val="3"/>
  </w:num>
  <w:num w:numId="8">
    <w:abstractNumId w:val="6"/>
  </w:num>
  <w:num w:numId="9">
    <w:abstractNumId w:val="16"/>
  </w:num>
  <w:num w:numId="10">
    <w:abstractNumId w:val="4"/>
  </w:num>
  <w:num w:numId="11">
    <w:abstractNumId w:val="1"/>
  </w:num>
  <w:num w:numId="12">
    <w:abstractNumId w:val="11"/>
  </w:num>
  <w:num w:numId="13">
    <w:abstractNumId w:val="13"/>
  </w:num>
  <w:num w:numId="14">
    <w:abstractNumId w:val="15"/>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CA8"/>
    <w:rsid w:val="000113E6"/>
    <w:rsid w:val="000131FF"/>
    <w:rsid w:val="000177AE"/>
    <w:rsid w:val="0002286E"/>
    <w:rsid w:val="00036A50"/>
    <w:rsid w:val="0005612E"/>
    <w:rsid w:val="0005756B"/>
    <w:rsid w:val="00072ECF"/>
    <w:rsid w:val="000740D3"/>
    <w:rsid w:val="000957C9"/>
    <w:rsid w:val="000A4354"/>
    <w:rsid w:val="000B4168"/>
    <w:rsid w:val="000D3DE9"/>
    <w:rsid w:val="000D6C93"/>
    <w:rsid w:val="00143827"/>
    <w:rsid w:val="001646EC"/>
    <w:rsid w:val="00172BCA"/>
    <w:rsid w:val="00183AC9"/>
    <w:rsid w:val="001922A9"/>
    <w:rsid w:val="001923E7"/>
    <w:rsid w:val="001B1E41"/>
    <w:rsid w:val="001E3025"/>
    <w:rsid w:val="001E6DD8"/>
    <w:rsid w:val="001F5810"/>
    <w:rsid w:val="00227159"/>
    <w:rsid w:val="002350CB"/>
    <w:rsid w:val="00244CF5"/>
    <w:rsid w:val="002603AD"/>
    <w:rsid w:val="002630EA"/>
    <w:rsid w:val="00265A9A"/>
    <w:rsid w:val="002740B9"/>
    <w:rsid w:val="00285B87"/>
    <w:rsid w:val="00296528"/>
    <w:rsid w:val="002A2C0D"/>
    <w:rsid w:val="002A4B9D"/>
    <w:rsid w:val="002B006F"/>
    <w:rsid w:val="002B17FA"/>
    <w:rsid w:val="002C2CA8"/>
    <w:rsid w:val="002C3153"/>
    <w:rsid w:val="002D60A0"/>
    <w:rsid w:val="002E037E"/>
    <w:rsid w:val="002E2129"/>
    <w:rsid w:val="002E2F68"/>
    <w:rsid w:val="002F2CFA"/>
    <w:rsid w:val="003215E5"/>
    <w:rsid w:val="00343CA6"/>
    <w:rsid w:val="00343DF1"/>
    <w:rsid w:val="00364A4E"/>
    <w:rsid w:val="00381D51"/>
    <w:rsid w:val="00382328"/>
    <w:rsid w:val="003911DB"/>
    <w:rsid w:val="003A33CC"/>
    <w:rsid w:val="003C2D7C"/>
    <w:rsid w:val="003E4518"/>
    <w:rsid w:val="003F5B93"/>
    <w:rsid w:val="004100EE"/>
    <w:rsid w:val="004133A0"/>
    <w:rsid w:val="00426A4B"/>
    <w:rsid w:val="00426F77"/>
    <w:rsid w:val="004336D6"/>
    <w:rsid w:val="0044020B"/>
    <w:rsid w:val="0044297F"/>
    <w:rsid w:val="0047618E"/>
    <w:rsid w:val="00487BEF"/>
    <w:rsid w:val="00490188"/>
    <w:rsid w:val="00491958"/>
    <w:rsid w:val="00497026"/>
    <w:rsid w:val="00497E88"/>
    <w:rsid w:val="00497F2C"/>
    <w:rsid w:val="004A5625"/>
    <w:rsid w:val="004A62DC"/>
    <w:rsid w:val="004D4F53"/>
    <w:rsid w:val="004E0E5C"/>
    <w:rsid w:val="004E5393"/>
    <w:rsid w:val="005058D4"/>
    <w:rsid w:val="00534320"/>
    <w:rsid w:val="00543E43"/>
    <w:rsid w:val="00546A1E"/>
    <w:rsid w:val="00562C23"/>
    <w:rsid w:val="005676E8"/>
    <w:rsid w:val="00581C8F"/>
    <w:rsid w:val="00596F4B"/>
    <w:rsid w:val="005B460D"/>
    <w:rsid w:val="005B4762"/>
    <w:rsid w:val="005C46B6"/>
    <w:rsid w:val="005D1BB7"/>
    <w:rsid w:val="005D5F58"/>
    <w:rsid w:val="005F08D6"/>
    <w:rsid w:val="00601BCC"/>
    <w:rsid w:val="00632363"/>
    <w:rsid w:val="006417FC"/>
    <w:rsid w:val="00645A74"/>
    <w:rsid w:val="00655F94"/>
    <w:rsid w:val="00672BE2"/>
    <w:rsid w:val="00684DAC"/>
    <w:rsid w:val="006A4EF9"/>
    <w:rsid w:val="006D7386"/>
    <w:rsid w:val="007034D1"/>
    <w:rsid w:val="007157AB"/>
    <w:rsid w:val="00736A29"/>
    <w:rsid w:val="00740CDE"/>
    <w:rsid w:val="00741B1D"/>
    <w:rsid w:val="00776630"/>
    <w:rsid w:val="007818F3"/>
    <w:rsid w:val="007934E8"/>
    <w:rsid w:val="007A4945"/>
    <w:rsid w:val="007E5E58"/>
    <w:rsid w:val="007F2F92"/>
    <w:rsid w:val="007F73F5"/>
    <w:rsid w:val="00811182"/>
    <w:rsid w:val="008163BB"/>
    <w:rsid w:val="0083189F"/>
    <w:rsid w:val="0083441B"/>
    <w:rsid w:val="008368BF"/>
    <w:rsid w:val="00840DC8"/>
    <w:rsid w:val="00844C51"/>
    <w:rsid w:val="00845B09"/>
    <w:rsid w:val="00864E98"/>
    <w:rsid w:val="008829CB"/>
    <w:rsid w:val="0089064E"/>
    <w:rsid w:val="00894FC2"/>
    <w:rsid w:val="008A075D"/>
    <w:rsid w:val="008A2CA1"/>
    <w:rsid w:val="008A3D61"/>
    <w:rsid w:val="008C72E3"/>
    <w:rsid w:val="008D25E4"/>
    <w:rsid w:val="008F2D21"/>
    <w:rsid w:val="009127A1"/>
    <w:rsid w:val="00921E53"/>
    <w:rsid w:val="00923BC3"/>
    <w:rsid w:val="00955E17"/>
    <w:rsid w:val="009661A9"/>
    <w:rsid w:val="00967E2E"/>
    <w:rsid w:val="0098169C"/>
    <w:rsid w:val="009C083C"/>
    <w:rsid w:val="009C7B46"/>
    <w:rsid w:val="009E68DB"/>
    <w:rsid w:val="009F0867"/>
    <w:rsid w:val="00A23B87"/>
    <w:rsid w:val="00A40349"/>
    <w:rsid w:val="00A762F7"/>
    <w:rsid w:val="00A847AF"/>
    <w:rsid w:val="00A85D8B"/>
    <w:rsid w:val="00A8701A"/>
    <w:rsid w:val="00AA2515"/>
    <w:rsid w:val="00AC3883"/>
    <w:rsid w:val="00AC7DE7"/>
    <w:rsid w:val="00AD4424"/>
    <w:rsid w:val="00B02695"/>
    <w:rsid w:val="00B36382"/>
    <w:rsid w:val="00B44293"/>
    <w:rsid w:val="00B56A7D"/>
    <w:rsid w:val="00B6068A"/>
    <w:rsid w:val="00B6158C"/>
    <w:rsid w:val="00B7606B"/>
    <w:rsid w:val="00B83114"/>
    <w:rsid w:val="00B94DFB"/>
    <w:rsid w:val="00B95052"/>
    <w:rsid w:val="00B9766E"/>
    <w:rsid w:val="00BB0987"/>
    <w:rsid w:val="00BE4909"/>
    <w:rsid w:val="00C17071"/>
    <w:rsid w:val="00C21D18"/>
    <w:rsid w:val="00C53949"/>
    <w:rsid w:val="00C745E1"/>
    <w:rsid w:val="00C94167"/>
    <w:rsid w:val="00CB73CE"/>
    <w:rsid w:val="00CC25FC"/>
    <w:rsid w:val="00CD0954"/>
    <w:rsid w:val="00CF6A32"/>
    <w:rsid w:val="00D13C5B"/>
    <w:rsid w:val="00D2011B"/>
    <w:rsid w:val="00D27954"/>
    <w:rsid w:val="00D31748"/>
    <w:rsid w:val="00D42CD0"/>
    <w:rsid w:val="00D42E45"/>
    <w:rsid w:val="00D52964"/>
    <w:rsid w:val="00D52E8B"/>
    <w:rsid w:val="00D54903"/>
    <w:rsid w:val="00D8678B"/>
    <w:rsid w:val="00D906BE"/>
    <w:rsid w:val="00D97E95"/>
    <w:rsid w:val="00DB08F7"/>
    <w:rsid w:val="00DB58C0"/>
    <w:rsid w:val="00DB5FDB"/>
    <w:rsid w:val="00DC25B1"/>
    <w:rsid w:val="00DD50C8"/>
    <w:rsid w:val="00DD7E57"/>
    <w:rsid w:val="00DE1F1E"/>
    <w:rsid w:val="00DE71CC"/>
    <w:rsid w:val="00E066E5"/>
    <w:rsid w:val="00E12996"/>
    <w:rsid w:val="00E53358"/>
    <w:rsid w:val="00E53F36"/>
    <w:rsid w:val="00E55356"/>
    <w:rsid w:val="00E70AA0"/>
    <w:rsid w:val="00E85044"/>
    <w:rsid w:val="00EA4C60"/>
    <w:rsid w:val="00EB2FEC"/>
    <w:rsid w:val="00ED35E1"/>
    <w:rsid w:val="00EE0649"/>
    <w:rsid w:val="00EF2B33"/>
    <w:rsid w:val="00F0527D"/>
    <w:rsid w:val="00F07390"/>
    <w:rsid w:val="00F245C4"/>
    <w:rsid w:val="00F26423"/>
    <w:rsid w:val="00F4703C"/>
    <w:rsid w:val="00F71C9E"/>
    <w:rsid w:val="00F777EC"/>
    <w:rsid w:val="00F8117C"/>
    <w:rsid w:val="00F831FD"/>
    <w:rsid w:val="00F86CB7"/>
    <w:rsid w:val="00F97136"/>
    <w:rsid w:val="00FB007E"/>
    <w:rsid w:val="00FB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A9442"/>
  <w15:chartTrackingRefBased/>
  <w15:docId w15:val="{35F15086-1550-D84E-B68D-7D6EEA2A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2CA8"/>
    <w:pPr>
      <w:spacing w:line="276" w:lineRule="auto"/>
    </w:pPr>
    <w:rPr>
      <w:rFonts w:ascii="Arial" w:eastAsia="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15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227159"/>
  </w:style>
  <w:style w:type="character" w:styleId="Strong">
    <w:name w:val="Strong"/>
    <w:basedOn w:val="DefaultParagraphFont"/>
    <w:uiPriority w:val="22"/>
    <w:qFormat/>
    <w:rsid w:val="00227159"/>
    <w:rPr>
      <w:b/>
      <w:bCs/>
    </w:rPr>
  </w:style>
  <w:style w:type="character" w:styleId="Hyperlink">
    <w:name w:val="Hyperlink"/>
    <w:basedOn w:val="DefaultParagraphFont"/>
    <w:uiPriority w:val="99"/>
    <w:unhideWhenUsed/>
    <w:rsid w:val="00227159"/>
    <w:rPr>
      <w:color w:val="0000FF"/>
      <w:u w:val="single"/>
    </w:rPr>
  </w:style>
  <w:style w:type="character" w:styleId="Emphasis">
    <w:name w:val="Emphasis"/>
    <w:basedOn w:val="DefaultParagraphFont"/>
    <w:uiPriority w:val="20"/>
    <w:qFormat/>
    <w:rsid w:val="00227159"/>
    <w:rPr>
      <w:i/>
      <w:iCs/>
    </w:rPr>
  </w:style>
  <w:style w:type="paragraph" w:styleId="Header">
    <w:name w:val="header"/>
    <w:basedOn w:val="Normal"/>
    <w:link w:val="HeaderChar"/>
    <w:uiPriority w:val="99"/>
    <w:unhideWhenUsed/>
    <w:rsid w:val="001E3025"/>
    <w:pPr>
      <w:tabs>
        <w:tab w:val="center" w:pos="4513"/>
        <w:tab w:val="right" w:pos="9026"/>
      </w:tabs>
      <w:spacing w:line="240" w:lineRule="auto"/>
    </w:pPr>
  </w:style>
  <w:style w:type="character" w:customStyle="1" w:styleId="HeaderChar">
    <w:name w:val="Header Char"/>
    <w:basedOn w:val="DefaultParagraphFont"/>
    <w:link w:val="Header"/>
    <w:uiPriority w:val="99"/>
    <w:rsid w:val="001E3025"/>
    <w:rPr>
      <w:rFonts w:ascii="Arial" w:eastAsia="Arial" w:hAnsi="Arial" w:cs="Arial"/>
      <w:sz w:val="22"/>
      <w:szCs w:val="22"/>
      <w:lang w:val="en-GB" w:eastAsia="en-GB"/>
    </w:rPr>
  </w:style>
  <w:style w:type="paragraph" w:styleId="Footer">
    <w:name w:val="footer"/>
    <w:basedOn w:val="Normal"/>
    <w:link w:val="FooterChar"/>
    <w:uiPriority w:val="99"/>
    <w:unhideWhenUsed/>
    <w:rsid w:val="001E3025"/>
    <w:pPr>
      <w:tabs>
        <w:tab w:val="center" w:pos="4513"/>
        <w:tab w:val="right" w:pos="9026"/>
      </w:tabs>
      <w:spacing w:line="240" w:lineRule="auto"/>
    </w:pPr>
  </w:style>
  <w:style w:type="character" w:customStyle="1" w:styleId="FooterChar">
    <w:name w:val="Footer Char"/>
    <w:basedOn w:val="DefaultParagraphFont"/>
    <w:link w:val="Footer"/>
    <w:uiPriority w:val="99"/>
    <w:rsid w:val="001E3025"/>
    <w:rPr>
      <w:rFonts w:ascii="Arial" w:eastAsia="Arial" w:hAnsi="Arial" w:cs="Arial"/>
      <w:sz w:val="22"/>
      <w:szCs w:val="22"/>
      <w:lang w:val="en-GB" w:eastAsia="en-GB"/>
    </w:rPr>
  </w:style>
  <w:style w:type="paragraph" w:styleId="ListParagraph">
    <w:name w:val="List Paragraph"/>
    <w:basedOn w:val="Normal"/>
    <w:uiPriority w:val="34"/>
    <w:qFormat/>
    <w:rsid w:val="001E3025"/>
    <w:pPr>
      <w:ind w:left="720"/>
      <w:contextualSpacing/>
    </w:pPr>
  </w:style>
  <w:style w:type="paragraph" w:styleId="BalloonText">
    <w:name w:val="Balloon Text"/>
    <w:basedOn w:val="Normal"/>
    <w:link w:val="BalloonTextChar"/>
    <w:uiPriority w:val="99"/>
    <w:semiHidden/>
    <w:unhideWhenUsed/>
    <w:rsid w:val="00D279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954"/>
    <w:rPr>
      <w:rFonts w:ascii="Segoe UI" w:eastAsia="Arial" w:hAnsi="Segoe UI" w:cs="Segoe UI"/>
      <w:sz w:val="18"/>
      <w:szCs w:val="18"/>
      <w:lang w:val="en-GB" w:eastAsia="en-GB"/>
    </w:rPr>
  </w:style>
  <w:style w:type="character" w:styleId="CommentReference">
    <w:name w:val="annotation reference"/>
    <w:basedOn w:val="DefaultParagraphFont"/>
    <w:uiPriority w:val="99"/>
    <w:semiHidden/>
    <w:unhideWhenUsed/>
    <w:rsid w:val="00D27954"/>
    <w:rPr>
      <w:sz w:val="16"/>
      <w:szCs w:val="16"/>
    </w:rPr>
  </w:style>
  <w:style w:type="paragraph" w:styleId="CommentText">
    <w:name w:val="annotation text"/>
    <w:basedOn w:val="Normal"/>
    <w:link w:val="CommentTextChar"/>
    <w:uiPriority w:val="99"/>
    <w:semiHidden/>
    <w:unhideWhenUsed/>
    <w:rsid w:val="00D27954"/>
    <w:pPr>
      <w:spacing w:line="240" w:lineRule="auto"/>
    </w:pPr>
    <w:rPr>
      <w:sz w:val="20"/>
      <w:szCs w:val="20"/>
    </w:rPr>
  </w:style>
  <w:style w:type="character" w:customStyle="1" w:styleId="CommentTextChar">
    <w:name w:val="Comment Text Char"/>
    <w:basedOn w:val="DefaultParagraphFont"/>
    <w:link w:val="CommentText"/>
    <w:uiPriority w:val="99"/>
    <w:semiHidden/>
    <w:rsid w:val="00D27954"/>
    <w:rPr>
      <w:rFonts w:ascii="Arial" w:eastAsia="Arial"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D27954"/>
    <w:rPr>
      <w:b/>
      <w:bCs/>
    </w:rPr>
  </w:style>
  <w:style w:type="character" w:customStyle="1" w:styleId="CommentSubjectChar">
    <w:name w:val="Comment Subject Char"/>
    <w:basedOn w:val="CommentTextChar"/>
    <w:link w:val="CommentSubject"/>
    <w:uiPriority w:val="99"/>
    <w:semiHidden/>
    <w:rsid w:val="00D27954"/>
    <w:rPr>
      <w:rFonts w:ascii="Arial" w:eastAsia="Arial" w:hAnsi="Arial" w:cs="Arial"/>
      <w:b/>
      <w:bCs/>
      <w:sz w:val="20"/>
      <w:szCs w:val="20"/>
      <w:lang w:val="en-GB" w:eastAsia="en-GB"/>
    </w:rPr>
  </w:style>
  <w:style w:type="character" w:styleId="FootnoteReference">
    <w:name w:val="footnote reference"/>
    <w:basedOn w:val="DefaultParagraphFont"/>
    <w:uiPriority w:val="99"/>
    <w:unhideWhenUsed/>
    <w:rsid w:val="00265A9A"/>
    <w:rPr>
      <w:vertAlign w:val="superscript"/>
    </w:rPr>
  </w:style>
  <w:style w:type="character" w:customStyle="1" w:styleId="Boldstyle">
    <w:name w:val="Bold style"/>
    <w:uiPriority w:val="1"/>
    <w:qFormat/>
    <w:rsid w:val="00B56A7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4121">
      <w:bodyDiv w:val="1"/>
      <w:marLeft w:val="0"/>
      <w:marRight w:val="0"/>
      <w:marTop w:val="0"/>
      <w:marBottom w:val="0"/>
      <w:divBdr>
        <w:top w:val="none" w:sz="0" w:space="0" w:color="auto"/>
        <w:left w:val="none" w:sz="0" w:space="0" w:color="auto"/>
        <w:bottom w:val="none" w:sz="0" w:space="0" w:color="auto"/>
        <w:right w:val="none" w:sz="0" w:space="0" w:color="auto"/>
      </w:divBdr>
      <w:divsChild>
        <w:div w:id="1948271651">
          <w:marLeft w:val="0"/>
          <w:marRight w:val="0"/>
          <w:marTop w:val="0"/>
          <w:marBottom w:val="0"/>
          <w:divBdr>
            <w:top w:val="none" w:sz="0" w:space="0" w:color="auto"/>
            <w:left w:val="none" w:sz="0" w:space="0" w:color="auto"/>
            <w:bottom w:val="none" w:sz="0" w:space="0" w:color="auto"/>
            <w:right w:val="none" w:sz="0" w:space="0" w:color="auto"/>
          </w:divBdr>
          <w:divsChild>
            <w:div w:id="1959952005">
              <w:marLeft w:val="0"/>
              <w:marRight w:val="0"/>
              <w:marTop w:val="0"/>
              <w:marBottom w:val="0"/>
              <w:divBdr>
                <w:top w:val="none" w:sz="0" w:space="0" w:color="auto"/>
                <w:left w:val="none" w:sz="0" w:space="0" w:color="auto"/>
                <w:bottom w:val="none" w:sz="0" w:space="0" w:color="auto"/>
                <w:right w:val="none" w:sz="0" w:space="0" w:color="auto"/>
              </w:divBdr>
              <w:divsChild>
                <w:div w:id="18963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0901">
      <w:bodyDiv w:val="1"/>
      <w:marLeft w:val="0"/>
      <w:marRight w:val="0"/>
      <w:marTop w:val="0"/>
      <w:marBottom w:val="0"/>
      <w:divBdr>
        <w:top w:val="none" w:sz="0" w:space="0" w:color="auto"/>
        <w:left w:val="none" w:sz="0" w:space="0" w:color="auto"/>
        <w:bottom w:val="none" w:sz="0" w:space="0" w:color="auto"/>
        <w:right w:val="none" w:sz="0" w:space="0" w:color="auto"/>
      </w:divBdr>
    </w:div>
    <w:div w:id="219828361">
      <w:bodyDiv w:val="1"/>
      <w:marLeft w:val="0"/>
      <w:marRight w:val="0"/>
      <w:marTop w:val="0"/>
      <w:marBottom w:val="0"/>
      <w:divBdr>
        <w:top w:val="none" w:sz="0" w:space="0" w:color="auto"/>
        <w:left w:val="none" w:sz="0" w:space="0" w:color="auto"/>
        <w:bottom w:val="none" w:sz="0" w:space="0" w:color="auto"/>
        <w:right w:val="none" w:sz="0" w:space="0" w:color="auto"/>
      </w:divBdr>
    </w:div>
    <w:div w:id="772435865">
      <w:bodyDiv w:val="1"/>
      <w:marLeft w:val="0"/>
      <w:marRight w:val="0"/>
      <w:marTop w:val="0"/>
      <w:marBottom w:val="0"/>
      <w:divBdr>
        <w:top w:val="none" w:sz="0" w:space="0" w:color="auto"/>
        <w:left w:val="none" w:sz="0" w:space="0" w:color="auto"/>
        <w:bottom w:val="none" w:sz="0" w:space="0" w:color="auto"/>
        <w:right w:val="none" w:sz="0" w:space="0" w:color="auto"/>
      </w:divBdr>
      <w:divsChild>
        <w:div w:id="573123082">
          <w:marLeft w:val="75"/>
          <w:marRight w:val="0"/>
          <w:marTop w:val="0"/>
          <w:marBottom w:val="0"/>
          <w:divBdr>
            <w:top w:val="none" w:sz="0" w:space="0" w:color="auto"/>
            <w:left w:val="none" w:sz="0" w:space="0" w:color="auto"/>
            <w:bottom w:val="none" w:sz="0" w:space="0" w:color="auto"/>
            <w:right w:val="none" w:sz="0" w:space="0" w:color="auto"/>
          </w:divBdr>
        </w:div>
        <w:div w:id="1176114671">
          <w:marLeft w:val="75"/>
          <w:marRight w:val="0"/>
          <w:marTop w:val="0"/>
          <w:marBottom w:val="0"/>
          <w:divBdr>
            <w:top w:val="none" w:sz="0" w:space="0" w:color="auto"/>
            <w:left w:val="none" w:sz="0" w:space="0" w:color="auto"/>
            <w:bottom w:val="none" w:sz="0" w:space="0" w:color="auto"/>
            <w:right w:val="none" w:sz="0" w:space="0" w:color="auto"/>
          </w:divBdr>
        </w:div>
        <w:div w:id="179005746">
          <w:marLeft w:val="75"/>
          <w:marRight w:val="0"/>
          <w:marTop w:val="0"/>
          <w:marBottom w:val="0"/>
          <w:divBdr>
            <w:top w:val="none" w:sz="0" w:space="0" w:color="auto"/>
            <w:left w:val="none" w:sz="0" w:space="0" w:color="auto"/>
            <w:bottom w:val="none" w:sz="0" w:space="0" w:color="auto"/>
            <w:right w:val="none" w:sz="0" w:space="0" w:color="auto"/>
          </w:divBdr>
        </w:div>
        <w:div w:id="1130200904">
          <w:marLeft w:val="75"/>
          <w:marRight w:val="0"/>
          <w:marTop w:val="0"/>
          <w:marBottom w:val="0"/>
          <w:divBdr>
            <w:top w:val="none" w:sz="0" w:space="0" w:color="auto"/>
            <w:left w:val="none" w:sz="0" w:space="0" w:color="auto"/>
            <w:bottom w:val="none" w:sz="0" w:space="0" w:color="auto"/>
            <w:right w:val="none" w:sz="0" w:space="0" w:color="auto"/>
          </w:divBdr>
        </w:div>
      </w:divsChild>
    </w:div>
    <w:div w:id="923878720">
      <w:bodyDiv w:val="1"/>
      <w:marLeft w:val="0"/>
      <w:marRight w:val="0"/>
      <w:marTop w:val="0"/>
      <w:marBottom w:val="0"/>
      <w:divBdr>
        <w:top w:val="none" w:sz="0" w:space="0" w:color="auto"/>
        <w:left w:val="none" w:sz="0" w:space="0" w:color="auto"/>
        <w:bottom w:val="none" w:sz="0" w:space="0" w:color="auto"/>
        <w:right w:val="none" w:sz="0" w:space="0" w:color="auto"/>
      </w:divBdr>
    </w:div>
    <w:div w:id="981614554">
      <w:bodyDiv w:val="1"/>
      <w:marLeft w:val="0"/>
      <w:marRight w:val="0"/>
      <w:marTop w:val="0"/>
      <w:marBottom w:val="0"/>
      <w:divBdr>
        <w:top w:val="none" w:sz="0" w:space="0" w:color="auto"/>
        <w:left w:val="none" w:sz="0" w:space="0" w:color="auto"/>
        <w:bottom w:val="none" w:sz="0" w:space="0" w:color="auto"/>
        <w:right w:val="none" w:sz="0" w:space="0" w:color="auto"/>
      </w:divBdr>
      <w:divsChild>
        <w:div w:id="297536254">
          <w:marLeft w:val="0"/>
          <w:marRight w:val="0"/>
          <w:marTop w:val="0"/>
          <w:marBottom w:val="0"/>
          <w:divBdr>
            <w:top w:val="none" w:sz="0" w:space="0" w:color="auto"/>
            <w:left w:val="none" w:sz="0" w:space="0" w:color="auto"/>
            <w:bottom w:val="none" w:sz="0" w:space="0" w:color="auto"/>
            <w:right w:val="none" w:sz="0" w:space="0" w:color="auto"/>
          </w:divBdr>
          <w:divsChild>
            <w:div w:id="1385834552">
              <w:marLeft w:val="0"/>
              <w:marRight w:val="0"/>
              <w:marTop w:val="0"/>
              <w:marBottom w:val="0"/>
              <w:divBdr>
                <w:top w:val="none" w:sz="0" w:space="0" w:color="auto"/>
                <w:left w:val="none" w:sz="0" w:space="0" w:color="auto"/>
                <w:bottom w:val="none" w:sz="0" w:space="0" w:color="auto"/>
                <w:right w:val="none" w:sz="0" w:space="0" w:color="auto"/>
              </w:divBdr>
              <w:divsChild>
                <w:div w:id="357514350">
                  <w:marLeft w:val="0"/>
                  <w:marRight w:val="0"/>
                  <w:marTop w:val="0"/>
                  <w:marBottom w:val="0"/>
                  <w:divBdr>
                    <w:top w:val="none" w:sz="0" w:space="0" w:color="auto"/>
                    <w:left w:val="none" w:sz="0" w:space="0" w:color="auto"/>
                    <w:bottom w:val="none" w:sz="0" w:space="0" w:color="auto"/>
                    <w:right w:val="none" w:sz="0" w:space="0" w:color="auto"/>
                  </w:divBdr>
                  <w:divsChild>
                    <w:div w:id="9465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33">
      <w:bodyDiv w:val="1"/>
      <w:marLeft w:val="0"/>
      <w:marRight w:val="0"/>
      <w:marTop w:val="0"/>
      <w:marBottom w:val="0"/>
      <w:divBdr>
        <w:top w:val="none" w:sz="0" w:space="0" w:color="auto"/>
        <w:left w:val="none" w:sz="0" w:space="0" w:color="auto"/>
        <w:bottom w:val="none" w:sz="0" w:space="0" w:color="auto"/>
        <w:right w:val="none" w:sz="0" w:space="0" w:color="auto"/>
      </w:divBdr>
    </w:div>
    <w:div w:id="1661275069">
      <w:bodyDiv w:val="1"/>
      <w:marLeft w:val="0"/>
      <w:marRight w:val="0"/>
      <w:marTop w:val="0"/>
      <w:marBottom w:val="0"/>
      <w:divBdr>
        <w:top w:val="none" w:sz="0" w:space="0" w:color="auto"/>
        <w:left w:val="none" w:sz="0" w:space="0" w:color="auto"/>
        <w:bottom w:val="none" w:sz="0" w:space="0" w:color="auto"/>
        <w:right w:val="none" w:sz="0" w:space="0" w:color="auto"/>
      </w:divBdr>
      <w:divsChild>
        <w:div w:id="348920354">
          <w:marLeft w:val="75"/>
          <w:marRight w:val="0"/>
          <w:marTop w:val="0"/>
          <w:marBottom w:val="0"/>
          <w:divBdr>
            <w:top w:val="none" w:sz="0" w:space="0" w:color="auto"/>
            <w:left w:val="none" w:sz="0" w:space="0" w:color="auto"/>
            <w:bottom w:val="none" w:sz="0" w:space="0" w:color="auto"/>
            <w:right w:val="none" w:sz="0" w:space="0" w:color="auto"/>
          </w:divBdr>
        </w:div>
        <w:div w:id="297344847">
          <w:marLeft w:val="75"/>
          <w:marRight w:val="0"/>
          <w:marTop w:val="0"/>
          <w:marBottom w:val="0"/>
          <w:divBdr>
            <w:top w:val="none" w:sz="0" w:space="0" w:color="auto"/>
            <w:left w:val="none" w:sz="0" w:space="0" w:color="auto"/>
            <w:bottom w:val="none" w:sz="0" w:space="0" w:color="auto"/>
            <w:right w:val="none" w:sz="0" w:space="0" w:color="auto"/>
          </w:divBdr>
        </w:div>
        <w:div w:id="692076419">
          <w:marLeft w:val="75"/>
          <w:marRight w:val="0"/>
          <w:marTop w:val="0"/>
          <w:marBottom w:val="0"/>
          <w:divBdr>
            <w:top w:val="none" w:sz="0" w:space="0" w:color="auto"/>
            <w:left w:val="none" w:sz="0" w:space="0" w:color="auto"/>
            <w:bottom w:val="none" w:sz="0" w:space="0" w:color="auto"/>
            <w:right w:val="none" w:sz="0" w:space="0" w:color="auto"/>
          </w:divBdr>
        </w:div>
        <w:div w:id="375736944">
          <w:marLeft w:val="75"/>
          <w:marRight w:val="0"/>
          <w:marTop w:val="0"/>
          <w:marBottom w:val="0"/>
          <w:divBdr>
            <w:top w:val="none" w:sz="0" w:space="0" w:color="auto"/>
            <w:left w:val="none" w:sz="0" w:space="0" w:color="auto"/>
            <w:bottom w:val="none" w:sz="0" w:space="0" w:color="auto"/>
            <w:right w:val="none" w:sz="0" w:space="0" w:color="auto"/>
          </w:divBdr>
        </w:div>
      </w:divsChild>
    </w:div>
    <w:div w:id="19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62156216">
          <w:marLeft w:val="0"/>
          <w:marRight w:val="0"/>
          <w:marTop w:val="0"/>
          <w:marBottom w:val="0"/>
          <w:divBdr>
            <w:top w:val="none" w:sz="0" w:space="0" w:color="auto"/>
            <w:left w:val="none" w:sz="0" w:space="0" w:color="auto"/>
            <w:bottom w:val="none" w:sz="0" w:space="0" w:color="auto"/>
            <w:right w:val="none" w:sz="0" w:space="0" w:color="auto"/>
          </w:divBdr>
        </w:div>
        <w:div w:id="1512720563">
          <w:marLeft w:val="0"/>
          <w:marRight w:val="0"/>
          <w:marTop w:val="0"/>
          <w:marBottom w:val="0"/>
          <w:divBdr>
            <w:top w:val="none" w:sz="0" w:space="0" w:color="auto"/>
            <w:left w:val="none" w:sz="0" w:space="0" w:color="auto"/>
            <w:bottom w:val="none" w:sz="0" w:space="0" w:color="auto"/>
            <w:right w:val="none" w:sz="0" w:space="0" w:color="auto"/>
          </w:divBdr>
        </w:div>
        <w:div w:id="112790968">
          <w:marLeft w:val="0"/>
          <w:marRight w:val="0"/>
          <w:marTop w:val="0"/>
          <w:marBottom w:val="0"/>
          <w:divBdr>
            <w:top w:val="none" w:sz="0" w:space="0" w:color="auto"/>
            <w:left w:val="none" w:sz="0" w:space="0" w:color="auto"/>
            <w:bottom w:val="none" w:sz="0" w:space="0" w:color="auto"/>
            <w:right w:val="none" w:sz="0" w:space="0" w:color="auto"/>
          </w:divBdr>
        </w:div>
        <w:div w:id="1555582631">
          <w:marLeft w:val="0"/>
          <w:marRight w:val="0"/>
          <w:marTop w:val="0"/>
          <w:marBottom w:val="0"/>
          <w:divBdr>
            <w:top w:val="none" w:sz="0" w:space="0" w:color="auto"/>
            <w:left w:val="none" w:sz="0" w:space="0" w:color="auto"/>
            <w:bottom w:val="none" w:sz="0" w:space="0" w:color="auto"/>
            <w:right w:val="none" w:sz="0" w:space="0" w:color="auto"/>
          </w:divBdr>
        </w:div>
        <w:div w:id="1980841858">
          <w:marLeft w:val="0"/>
          <w:marRight w:val="0"/>
          <w:marTop w:val="0"/>
          <w:marBottom w:val="0"/>
          <w:divBdr>
            <w:top w:val="none" w:sz="0" w:space="0" w:color="auto"/>
            <w:left w:val="none" w:sz="0" w:space="0" w:color="auto"/>
            <w:bottom w:val="none" w:sz="0" w:space="0" w:color="auto"/>
            <w:right w:val="none" w:sz="0" w:space="0" w:color="auto"/>
          </w:divBdr>
        </w:div>
        <w:div w:id="103958883">
          <w:marLeft w:val="0"/>
          <w:marRight w:val="0"/>
          <w:marTop w:val="0"/>
          <w:marBottom w:val="0"/>
          <w:divBdr>
            <w:top w:val="none" w:sz="0" w:space="0" w:color="auto"/>
            <w:left w:val="none" w:sz="0" w:space="0" w:color="auto"/>
            <w:bottom w:val="none" w:sz="0" w:space="0" w:color="auto"/>
            <w:right w:val="none" w:sz="0" w:space="0" w:color="auto"/>
          </w:divBdr>
        </w:div>
        <w:div w:id="1753815169">
          <w:marLeft w:val="0"/>
          <w:marRight w:val="0"/>
          <w:marTop w:val="0"/>
          <w:marBottom w:val="0"/>
          <w:divBdr>
            <w:top w:val="none" w:sz="0" w:space="0" w:color="auto"/>
            <w:left w:val="none" w:sz="0" w:space="0" w:color="auto"/>
            <w:bottom w:val="none" w:sz="0" w:space="0" w:color="auto"/>
            <w:right w:val="none" w:sz="0" w:space="0" w:color="auto"/>
          </w:divBdr>
        </w:div>
        <w:div w:id="487750510">
          <w:marLeft w:val="0"/>
          <w:marRight w:val="0"/>
          <w:marTop w:val="0"/>
          <w:marBottom w:val="0"/>
          <w:divBdr>
            <w:top w:val="none" w:sz="0" w:space="0" w:color="auto"/>
            <w:left w:val="none" w:sz="0" w:space="0" w:color="auto"/>
            <w:bottom w:val="none" w:sz="0" w:space="0" w:color="auto"/>
            <w:right w:val="none" w:sz="0" w:space="0" w:color="auto"/>
          </w:divBdr>
        </w:div>
        <w:div w:id="1701203266">
          <w:marLeft w:val="0"/>
          <w:marRight w:val="0"/>
          <w:marTop w:val="0"/>
          <w:marBottom w:val="0"/>
          <w:divBdr>
            <w:top w:val="none" w:sz="0" w:space="0" w:color="auto"/>
            <w:left w:val="none" w:sz="0" w:space="0" w:color="auto"/>
            <w:bottom w:val="none" w:sz="0" w:space="0" w:color="auto"/>
            <w:right w:val="none" w:sz="0" w:space="0" w:color="auto"/>
          </w:divBdr>
        </w:div>
      </w:divsChild>
    </w:div>
    <w:div w:id="2022780580">
      <w:bodyDiv w:val="1"/>
      <w:marLeft w:val="0"/>
      <w:marRight w:val="0"/>
      <w:marTop w:val="0"/>
      <w:marBottom w:val="0"/>
      <w:divBdr>
        <w:top w:val="none" w:sz="0" w:space="0" w:color="auto"/>
        <w:left w:val="none" w:sz="0" w:space="0" w:color="auto"/>
        <w:bottom w:val="none" w:sz="0" w:space="0" w:color="auto"/>
        <w:right w:val="none" w:sz="0" w:space="0" w:color="auto"/>
      </w:divBdr>
      <w:divsChild>
        <w:div w:id="975067599">
          <w:marLeft w:val="0"/>
          <w:marRight w:val="0"/>
          <w:marTop w:val="0"/>
          <w:marBottom w:val="0"/>
          <w:divBdr>
            <w:top w:val="none" w:sz="0" w:space="0" w:color="auto"/>
            <w:left w:val="none" w:sz="0" w:space="0" w:color="auto"/>
            <w:bottom w:val="none" w:sz="0" w:space="0" w:color="auto"/>
            <w:right w:val="none" w:sz="0" w:space="0" w:color="auto"/>
          </w:divBdr>
        </w:div>
        <w:div w:id="1900555628">
          <w:marLeft w:val="0"/>
          <w:marRight w:val="0"/>
          <w:marTop w:val="0"/>
          <w:marBottom w:val="0"/>
          <w:divBdr>
            <w:top w:val="none" w:sz="0" w:space="0" w:color="auto"/>
            <w:left w:val="none" w:sz="0" w:space="0" w:color="auto"/>
            <w:bottom w:val="none" w:sz="0" w:space="0" w:color="auto"/>
            <w:right w:val="none" w:sz="0" w:space="0" w:color="auto"/>
          </w:divBdr>
        </w:div>
        <w:div w:id="550117764">
          <w:marLeft w:val="0"/>
          <w:marRight w:val="0"/>
          <w:marTop w:val="0"/>
          <w:marBottom w:val="0"/>
          <w:divBdr>
            <w:top w:val="none" w:sz="0" w:space="0" w:color="auto"/>
            <w:left w:val="none" w:sz="0" w:space="0" w:color="auto"/>
            <w:bottom w:val="none" w:sz="0" w:space="0" w:color="auto"/>
            <w:right w:val="none" w:sz="0" w:space="0" w:color="auto"/>
          </w:divBdr>
        </w:div>
        <w:div w:id="1633444747">
          <w:marLeft w:val="0"/>
          <w:marRight w:val="0"/>
          <w:marTop w:val="0"/>
          <w:marBottom w:val="0"/>
          <w:divBdr>
            <w:top w:val="none" w:sz="0" w:space="0" w:color="auto"/>
            <w:left w:val="none" w:sz="0" w:space="0" w:color="auto"/>
            <w:bottom w:val="none" w:sz="0" w:space="0" w:color="auto"/>
            <w:right w:val="none" w:sz="0" w:space="0" w:color="auto"/>
          </w:divBdr>
        </w:div>
      </w:divsChild>
    </w:div>
    <w:div w:id="2131434598">
      <w:bodyDiv w:val="1"/>
      <w:marLeft w:val="0"/>
      <w:marRight w:val="0"/>
      <w:marTop w:val="0"/>
      <w:marBottom w:val="0"/>
      <w:divBdr>
        <w:top w:val="none" w:sz="0" w:space="0" w:color="auto"/>
        <w:left w:val="none" w:sz="0" w:space="0" w:color="auto"/>
        <w:bottom w:val="none" w:sz="0" w:space="0" w:color="auto"/>
        <w:right w:val="none" w:sz="0" w:space="0" w:color="auto"/>
      </w:divBdr>
      <w:divsChild>
        <w:div w:id="62335361">
          <w:marLeft w:val="0"/>
          <w:marRight w:val="0"/>
          <w:marTop w:val="0"/>
          <w:marBottom w:val="0"/>
          <w:divBdr>
            <w:top w:val="none" w:sz="0" w:space="0" w:color="auto"/>
            <w:left w:val="none" w:sz="0" w:space="0" w:color="auto"/>
            <w:bottom w:val="none" w:sz="0" w:space="0" w:color="auto"/>
            <w:right w:val="none" w:sz="0" w:space="0" w:color="auto"/>
          </w:divBdr>
        </w:div>
        <w:div w:id="1252590929">
          <w:marLeft w:val="0"/>
          <w:marRight w:val="0"/>
          <w:marTop w:val="0"/>
          <w:marBottom w:val="0"/>
          <w:divBdr>
            <w:top w:val="none" w:sz="0" w:space="0" w:color="auto"/>
            <w:left w:val="none" w:sz="0" w:space="0" w:color="auto"/>
            <w:bottom w:val="none" w:sz="0" w:space="0" w:color="auto"/>
            <w:right w:val="none" w:sz="0" w:space="0" w:color="auto"/>
          </w:divBdr>
        </w:div>
        <w:div w:id="80681191">
          <w:marLeft w:val="0"/>
          <w:marRight w:val="0"/>
          <w:marTop w:val="0"/>
          <w:marBottom w:val="0"/>
          <w:divBdr>
            <w:top w:val="none" w:sz="0" w:space="0" w:color="auto"/>
            <w:left w:val="none" w:sz="0" w:space="0" w:color="auto"/>
            <w:bottom w:val="none" w:sz="0" w:space="0" w:color="auto"/>
            <w:right w:val="none" w:sz="0" w:space="0" w:color="auto"/>
          </w:divBdr>
        </w:div>
        <w:div w:id="1635787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E4257-F1C4-428A-8B30-59755DC0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10055</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Bruel</dc:creator>
  <cp:keywords>C_Unrestricted</cp:keywords>
  <dc:description/>
  <cp:lastModifiedBy> </cp:lastModifiedBy>
  <cp:revision>3</cp:revision>
  <cp:lastPrinted>2019-07-18T09:11:00Z</cp:lastPrinted>
  <dcterms:created xsi:type="dcterms:W3CDTF">2019-07-19T11:18:00Z</dcterms:created>
  <dcterms:modified xsi:type="dcterms:W3CDTF">2019-07-19T11:18:00Z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_NewReviewCycle">
    <vt:lpwstr/>
  </property>
</Properties>
</file>